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99" w:rsidRPr="00474B28" w:rsidRDefault="00676299" w:rsidP="00676299">
      <w:pPr>
        <w:jc w:val="center"/>
        <w:rPr>
          <w:b/>
          <w:spacing w:val="40"/>
          <w:sz w:val="28"/>
          <w:szCs w:val="28"/>
        </w:rPr>
      </w:pPr>
      <w:r w:rsidRPr="00474B28">
        <w:rPr>
          <w:b/>
          <w:spacing w:val="40"/>
          <w:sz w:val="28"/>
          <w:szCs w:val="28"/>
        </w:rPr>
        <w:t>DRAFT</w:t>
      </w:r>
    </w:p>
    <w:p w:rsidR="00676299" w:rsidRDefault="00676299" w:rsidP="00676299">
      <w:pPr>
        <w:jc w:val="center"/>
        <w:rPr>
          <w:rFonts w:asciiTheme="majorHAnsi" w:hAnsiTheme="majorHAnsi"/>
          <w:b/>
          <w:sz w:val="28"/>
          <w:szCs w:val="28"/>
        </w:rPr>
      </w:pPr>
      <w:r w:rsidRPr="00676299">
        <w:rPr>
          <w:rFonts w:asciiTheme="majorHAnsi" w:hAnsiTheme="majorHAnsi"/>
          <w:b/>
          <w:sz w:val="28"/>
          <w:szCs w:val="28"/>
        </w:rPr>
        <w:t>Metadata Subcommittee</w:t>
      </w:r>
    </w:p>
    <w:p w:rsidR="00676299" w:rsidRDefault="00676299" w:rsidP="00676299">
      <w:pPr>
        <w:jc w:val="center"/>
        <w:rPr>
          <w:rFonts w:asciiTheme="majorHAnsi" w:hAnsiTheme="majorHAnsi"/>
          <w:b/>
        </w:rPr>
      </w:pPr>
      <w:r w:rsidRPr="00676299">
        <w:rPr>
          <w:rFonts w:asciiTheme="majorHAnsi" w:hAnsiTheme="majorHAnsi"/>
          <w:b/>
        </w:rPr>
        <w:t>February 10, 2010</w:t>
      </w:r>
    </w:p>
    <w:p w:rsidR="003875F0" w:rsidRDefault="003875F0" w:rsidP="003875F0">
      <w:pPr>
        <w:pBdr>
          <w:bottom w:val="single" w:sz="4" w:space="1" w:color="auto"/>
        </w:pBdr>
      </w:pPr>
    </w:p>
    <w:p w:rsidR="003875F0" w:rsidRDefault="003875F0" w:rsidP="000378E3"/>
    <w:p w:rsidR="000378E3" w:rsidRPr="00676299" w:rsidRDefault="000378E3" w:rsidP="000378E3">
      <w:r>
        <w:t>Present on call:</w:t>
      </w:r>
    </w:p>
    <w:p w:rsidR="003875F0" w:rsidRDefault="003875F0" w:rsidP="00676299">
      <w:pPr>
        <w:tabs>
          <w:tab w:val="decimal" w:pos="1080"/>
        </w:tabs>
        <w:sectPr w:rsidR="003875F0" w:rsidSect="007918D2">
          <w:footerReference w:type="default" r:id="rId8"/>
          <w:pgSz w:w="12240" w:h="15840"/>
          <w:pgMar w:top="1440" w:right="1440" w:bottom="1440" w:left="1440" w:header="720" w:footer="720" w:gutter="0"/>
          <w:cols w:space="720"/>
          <w:docGrid w:linePitch="360"/>
        </w:sectPr>
      </w:pPr>
    </w:p>
    <w:p w:rsidR="00676299" w:rsidRPr="003875F0" w:rsidRDefault="00676299" w:rsidP="00676299">
      <w:pPr>
        <w:tabs>
          <w:tab w:val="decimal" w:pos="1080"/>
        </w:tabs>
        <w:rPr>
          <w:sz w:val="20"/>
          <w:szCs w:val="20"/>
        </w:rPr>
      </w:pPr>
      <w:r w:rsidRPr="003875F0">
        <w:rPr>
          <w:sz w:val="20"/>
          <w:szCs w:val="20"/>
        </w:rPr>
        <w:lastRenderedPageBreak/>
        <w:tab/>
      </w:r>
      <w:r w:rsidRPr="003875F0">
        <w:rPr>
          <w:b/>
          <w:sz w:val="20"/>
          <w:szCs w:val="20"/>
        </w:rPr>
        <w:t>FAU</w:t>
      </w:r>
      <w:r w:rsidRPr="003875F0">
        <w:rPr>
          <w:sz w:val="20"/>
          <w:szCs w:val="20"/>
        </w:rPr>
        <w:tab/>
        <w:t>Janice Donahue</w:t>
      </w:r>
    </w:p>
    <w:p w:rsidR="00676299" w:rsidRPr="003875F0" w:rsidRDefault="00676299" w:rsidP="00676299">
      <w:pPr>
        <w:tabs>
          <w:tab w:val="decimal" w:pos="1080"/>
        </w:tabs>
        <w:rPr>
          <w:sz w:val="20"/>
          <w:szCs w:val="20"/>
        </w:rPr>
      </w:pPr>
      <w:r w:rsidRPr="003875F0">
        <w:rPr>
          <w:sz w:val="20"/>
          <w:szCs w:val="20"/>
        </w:rPr>
        <w:tab/>
      </w:r>
      <w:r w:rsidRPr="003875F0">
        <w:rPr>
          <w:b/>
          <w:sz w:val="20"/>
          <w:szCs w:val="20"/>
        </w:rPr>
        <w:t>FAU</w:t>
      </w:r>
      <w:r w:rsidRPr="003875F0">
        <w:rPr>
          <w:sz w:val="20"/>
          <w:szCs w:val="20"/>
        </w:rPr>
        <w:tab/>
        <w:t>Helen Laurence</w:t>
      </w:r>
    </w:p>
    <w:p w:rsidR="00676299" w:rsidRPr="003875F0" w:rsidRDefault="00676299" w:rsidP="00676299">
      <w:pPr>
        <w:tabs>
          <w:tab w:val="decimal" w:pos="1080"/>
        </w:tabs>
        <w:rPr>
          <w:sz w:val="20"/>
          <w:szCs w:val="20"/>
        </w:rPr>
      </w:pPr>
      <w:r w:rsidRPr="003875F0">
        <w:rPr>
          <w:sz w:val="20"/>
          <w:szCs w:val="20"/>
        </w:rPr>
        <w:tab/>
      </w:r>
      <w:r w:rsidRPr="003875F0">
        <w:rPr>
          <w:b/>
          <w:sz w:val="20"/>
          <w:szCs w:val="20"/>
        </w:rPr>
        <w:t>FCLA</w:t>
      </w:r>
      <w:r w:rsidRPr="003875F0">
        <w:rPr>
          <w:sz w:val="20"/>
          <w:szCs w:val="20"/>
        </w:rPr>
        <w:tab/>
        <w:t>Daniel Cromwell</w:t>
      </w:r>
    </w:p>
    <w:p w:rsidR="00676299" w:rsidRPr="003875F0" w:rsidRDefault="00676299" w:rsidP="00676299">
      <w:pPr>
        <w:tabs>
          <w:tab w:val="decimal" w:pos="1080"/>
        </w:tabs>
        <w:rPr>
          <w:sz w:val="20"/>
          <w:szCs w:val="20"/>
        </w:rPr>
      </w:pPr>
      <w:r w:rsidRPr="003875F0">
        <w:rPr>
          <w:sz w:val="20"/>
          <w:szCs w:val="20"/>
        </w:rPr>
        <w:tab/>
      </w:r>
      <w:r w:rsidRPr="003875F0">
        <w:rPr>
          <w:b/>
          <w:sz w:val="20"/>
          <w:szCs w:val="20"/>
        </w:rPr>
        <w:t>FSU</w:t>
      </w:r>
      <w:r w:rsidRPr="003875F0">
        <w:rPr>
          <w:sz w:val="20"/>
          <w:szCs w:val="20"/>
        </w:rPr>
        <w:tab/>
        <w:t xml:space="preserve">Tamara </w:t>
      </w:r>
      <w:proofErr w:type="spellStart"/>
      <w:r w:rsidRPr="003875F0">
        <w:rPr>
          <w:sz w:val="20"/>
          <w:szCs w:val="20"/>
        </w:rPr>
        <w:t>Weatherholt</w:t>
      </w:r>
      <w:proofErr w:type="spellEnd"/>
    </w:p>
    <w:p w:rsidR="00676299" w:rsidRPr="003875F0" w:rsidRDefault="00676299" w:rsidP="00676299">
      <w:pPr>
        <w:tabs>
          <w:tab w:val="decimal" w:pos="1080"/>
        </w:tabs>
        <w:rPr>
          <w:sz w:val="20"/>
          <w:szCs w:val="20"/>
        </w:rPr>
      </w:pPr>
      <w:r w:rsidRPr="003875F0">
        <w:rPr>
          <w:sz w:val="20"/>
          <w:szCs w:val="20"/>
        </w:rPr>
        <w:tab/>
      </w:r>
      <w:r w:rsidRPr="003875F0">
        <w:rPr>
          <w:b/>
          <w:sz w:val="20"/>
          <w:szCs w:val="20"/>
        </w:rPr>
        <w:t>GC</w:t>
      </w:r>
      <w:r w:rsidRPr="003875F0">
        <w:rPr>
          <w:sz w:val="20"/>
          <w:szCs w:val="20"/>
        </w:rPr>
        <w:tab/>
        <w:t>Catherine Gardiner</w:t>
      </w:r>
    </w:p>
    <w:p w:rsidR="00676299" w:rsidRPr="003875F0" w:rsidRDefault="00676299" w:rsidP="00676299">
      <w:pPr>
        <w:tabs>
          <w:tab w:val="decimal" w:pos="1080"/>
        </w:tabs>
        <w:rPr>
          <w:sz w:val="20"/>
          <w:szCs w:val="20"/>
        </w:rPr>
      </w:pPr>
      <w:r w:rsidRPr="003875F0">
        <w:rPr>
          <w:sz w:val="20"/>
          <w:szCs w:val="20"/>
        </w:rPr>
        <w:lastRenderedPageBreak/>
        <w:tab/>
      </w:r>
      <w:r w:rsidRPr="003875F0">
        <w:rPr>
          <w:b/>
          <w:sz w:val="20"/>
          <w:szCs w:val="20"/>
        </w:rPr>
        <w:t>UCF</w:t>
      </w:r>
      <w:r w:rsidRPr="003875F0">
        <w:rPr>
          <w:sz w:val="20"/>
          <w:szCs w:val="20"/>
        </w:rPr>
        <w:tab/>
        <w:t>Kimberly Montgomery</w:t>
      </w:r>
    </w:p>
    <w:p w:rsidR="00676299" w:rsidRPr="003875F0" w:rsidRDefault="00676299" w:rsidP="00676299">
      <w:pPr>
        <w:tabs>
          <w:tab w:val="decimal" w:pos="1080"/>
        </w:tabs>
        <w:rPr>
          <w:sz w:val="20"/>
          <w:szCs w:val="20"/>
        </w:rPr>
      </w:pPr>
      <w:r w:rsidRPr="003875F0">
        <w:rPr>
          <w:sz w:val="20"/>
          <w:szCs w:val="20"/>
        </w:rPr>
        <w:tab/>
      </w:r>
      <w:r w:rsidRPr="003875F0">
        <w:rPr>
          <w:b/>
          <w:sz w:val="20"/>
          <w:szCs w:val="20"/>
        </w:rPr>
        <w:t>UF</w:t>
      </w:r>
      <w:r w:rsidRPr="003875F0">
        <w:rPr>
          <w:sz w:val="20"/>
          <w:szCs w:val="20"/>
        </w:rPr>
        <w:tab/>
        <w:t>Jorge Gonzalez</w:t>
      </w:r>
    </w:p>
    <w:p w:rsidR="00676299" w:rsidRPr="003875F0" w:rsidRDefault="00676299" w:rsidP="00676299">
      <w:pPr>
        <w:tabs>
          <w:tab w:val="decimal" w:pos="1080"/>
        </w:tabs>
        <w:rPr>
          <w:sz w:val="20"/>
          <w:szCs w:val="20"/>
        </w:rPr>
      </w:pPr>
      <w:r w:rsidRPr="003875F0">
        <w:rPr>
          <w:sz w:val="20"/>
          <w:szCs w:val="20"/>
        </w:rPr>
        <w:tab/>
      </w:r>
      <w:r w:rsidRPr="003875F0">
        <w:rPr>
          <w:b/>
          <w:sz w:val="20"/>
          <w:szCs w:val="20"/>
        </w:rPr>
        <w:t>UNF</w:t>
      </w:r>
      <w:r w:rsidRPr="003875F0">
        <w:rPr>
          <w:sz w:val="20"/>
          <w:szCs w:val="20"/>
        </w:rPr>
        <w:tab/>
        <w:t>Linda Smith</w:t>
      </w:r>
    </w:p>
    <w:p w:rsidR="00676299" w:rsidRPr="003875F0" w:rsidRDefault="000378E3" w:rsidP="00676299">
      <w:pPr>
        <w:tabs>
          <w:tab w:val="decimal" w:pos="1080"/>
        </w:tabs>
        <w:rPr>
          <w:sz w:val="20"/>
          <w:szCs w:val="20"/>
        </w:rPr>
      </w:pPr>
      <w:r w:rsidRPr="003875F0">
        <w:rPr>
          <w:sz w:val="20"/>
          <w:szCs w:val="20"/>
        </w:rPr>
        <w:tab/>
      </w:r>
      <w:r w:rsidRPr="003875F0">
        <w:rPr>
          <w:b/>
          <w:sz w:val="20"/>
          <w:szCs w:val="20"/>
        </w:rPr>
        <w:t>USF</w:t>
      </w:r>
      <w:r w:rsidRPr="003875F0">
        <w:rPr>
          <w:sz w:val="20"/>
          <w:szCs w:val="20"/>
        </w:rPr>
        <w:tab/>
        <w:t xml:space="preserve">Brian </w:t>
      </w:r>
      <w:proofErr w:type="spellStart"/>
      <w:r w:rsidRPr="003875F0">
        <w:rPr>
          <w:sz w:val="20"/>
          <w:szCs w:val="20"/>
        </w:rPr>
        <w:t>Falato</w:t>
      </w:r>
      <w:proofErr w:type="spellEnd"/>
    </w:p>
    <w:p w:rsidR="003875F0" w:rsidRPr="003875F0" w:rsidRDefault="003875F0" w:rsidP="00D721D3">
      <w:pPr>
        <w:rPr>
          <w:sz w:val="20"/>
          <w:szCs w:val="20"/>
        </w:rPr>
        <w:sectPr w:rsidR="003875F0" w:rsidRPr="003875F0" w:rsidSect="003875F0">
          <w:type w:val="continuous"/>
          <w:pgSz w:w="12240" w:h="15840"/>
          <w:pgMar w:top="1440" w:right="1440" w:bottom="1440" w:left="1440" w:header="720" w:footer="720" w:gutter="0"/>
          <w:cols w:num="2" w:sep="1" w:space="720"/>
          <w:docGrid w:linePitch="360"/>
        </w:sectPr>
      </w:pPr>
    </w:p>
    <w:p w:rsidR="00676299" w:rsidRDefault="00676299" w:rsidP="00D721D3"/>
    <w:p w:rsidR="003875F0" w:rsidRDefault="003875F0" w:rsidP="003875F0">
      <w:pPr>
        <w:pBdr>
          <w:top w:val="single" w:sz="4" w:space="1" w:color="auto"/>
        </w:pBdr>
      </w:pPr>
    </w:p>
    <w:p w:rsidR="000378E3" w:rsidRDefault="000378E3" w:rsidP="00D721D3"/>
    <w:p w:rsidR="00EC6E4E" w:rsidRDefault="00F1792A" w:rsidP="00D721D3">
      <w:r>
        <w:t>In preparation for the Metadata Subcommittee conference call, the new chair, Kim</w:t>
      </w:r>
      <w:r w:rsidR="00143770">
        <w:t>berly</w:t>
      </w:r>
      <w:r>
        <w:t xml:space="preserve"> Montgomery, sent the following agenda item and information to the listserv:</w:t>
      </w:r>
    </w:p>
    <w:p w:rsidR="00F1792A" w:rsidRDefault="00F1792A" w:rsidP="00D721D3"/>
    <w:p w:rsidR="00F1792A" w:rsidRDefault="00F1792A" w:rsidP="0028672F">
      <w:pPr>
        <w:autoSpaceDE w:val="0"/>
        <w:autoSpaceDN w:val="0"/>
        <w:adjustRightInd w:val="0"/>
        <w:spacing w:line="240" w:lineRule="auto"/>
        <w:ind w:left="720"/>
        <w:rPr>
          <w:rFonts w:ascii="@Arial Unicode MS" w:eastAsia="@Arial Unicode MS" w:cs="@Arial Unicode MS"/>
          <w:sz w:val="20"/>
          <w:szCs w:val="20"/>
        </w:rPr>
      </w:pPr>
      <w:r>
        <w:rPr>
          <w:rFonts w:ascii="@Arial Unicode MS" w:eastAsia="@Arial Unicode MS" w:cs="@Arial Unicode MS"/>
          <w:sz w:val="20"/>
          <w:szCs w:val="20"/>
        </w:rPr>
        <w:t>“</w:t>
      </w:r>
      <w:r>
        <w:rPr>
          <w:rFonts w:ascii="@Arial Unicode MS" w:eastAsia="@Arial Unicode MS" w:cs="@Arial Unicode MS"/>
          <w:sz w:val="20"/>
          <w:szCs w:val="20"/>
        </w:rPr>
        <w:t>Question: Should the Metadata Subcommittee continue to exist?</w:t>
      </w:r>
    </w:p>
    <w:p w:rsidR="0028672F" w:rsidRDefault="0028672F" w:rsidP="0028672F">
      <w:pPr>
        <w:autoSpaceDE w:val="0"/>
        <w:autoSpaceDN w:val="0"/>
        <w:adjustRightInd w:val="0"/>
        <w:spacing w:line="240" w:lineRule="auto"/>
        <w:ind w:left="720"/>
        <w:rPr>
          <w:rFonts w:ascii="@Arial Unicode MS" w:eastAsia="@Arial Unicode MS" w:cs="@Arial Unicode MS"/>
          <w:sz w:val="20"/>
          <w:szCs w:val="20"/>
        </w:rPr>
      </w:pPr>
    </w:p>
    <w:p w:rsidR="00F1792A" w:rsidRDefault="00F1792A" w:rsidP="0028672F">
      <w:pPr>
        <w:autoSpaceDE w:val="0"/>
        <w:autoSpaceDN w:val="0"/>
        <w:adjustRightInd w:val="0"/>
        <w:spacing w:line="240" w:lineRule="auto"/>
        <w:ind w:left="720"/>
        <w:rPr>
          <w:rFonts w:ascii="@Arial Unicode MS" w:eastAsia="@Arial Unicode MS" w:cs="@Arial Unicode MS"/>
          <w:sz w:val="20"/>
          <w:szCs w:val="20"/>
        </w:rPr>
      </w:pPr>
      <w:r>
        <w:rPr>
          <w:rFonts w:ascii="@Arial Unicode MS" w:eastAsia="@Arial Unicode MS" w:cs="@Arial Unicode MS"/>
          <w:sz w:val="20"/>
          <w:szCs w:val="20"/>
        </w:rPr>
        <w:t xml:space="preserve">In preparation for this issue, I contacted FCLA and TSPC chairs (past, present and future) to </w:t>
      </w:r>
      <w:proofErr w:type="gramStart"/>
      <w:r>
        <w:rPr>
          <w:rFonts w:ascii="@Arial Unicode MS" w:eastAsia="@Arial Unicode MS" w:cs="@Arial Unicode MS"/>
          <w:sz w:val="20"/>
          <w:szCs w:val="20"/>
        </w:rPr>
        <w:t>ask</w:t>
      </w:r>
      <w:proofErr w:type="gramEnd"/>
      <w:r>
        <w:rPr>
          <w:rFonts w:ascii="@Arial Unicode MS" w:eastAsia="@Arial Unicode MS" w:cs="@Arial Unicode MS"/>
          <w:sz w:val="20"/>
          <w:szCs w:val="20"/>
        </w:rPr>
        <w:t xml:space="preserve"> for advice on the direction this group should take.  What came out of that consultation were these questions:</w:t>
      </w:r>
    </w:p>
    <w:p w:rsidR="00F1792A" w:rsidRDefault="00F1792A" w:rsidP="0028672F">
      <w:pPr>
        <w:autoSpaceDE w:val="0"/>
        <w:autoSpaceDN w:val="0"/>
        <w:adjustRightInd w:val="0"/>
        <w:spacing w:line="240" w:lineRule="auto"/>
        <w:ind w:left="720"/>
        <w:rPr>
          <w:rFonts w:ascii="@Arial Unicode MS" w:eastAsia="@Arial Unicode MS" w:cs="@Arial Unicode MS"/>
          <w:sz w:val="20"/>
          <w:szCs w:val="20"/>
        </w:rPr>
      </w:pPr>
      <w:r>
        <w:rPr>
          <w:rFonts w:ascii="@Arial Unicode MS" w:eastAsia="@Arial Unicode MS" w:cs="@Arial Unicode MS"/>
          <w:sz w:val="20"/>
          <w:szCs w:val="20"/>
        </w:rPr>
        <w:t xml:space="preserve">     a. What do we do that is not being addressed by another group?  Are we wasting our time?  </w:t>
      </w:r>
    </w:p>
    <w:p w:rsidR="00F1792A" w:rsidRDefault="00F1792A" w:rsidP="0028672F">
      <w:pPr>
        <w:autoSpaceDE w:val="0"/>
        <w:autoSpaceDN w:val="0"/>
        <w:adjustRightInd w:val="0"/>
        <w:spacing w:line="240" w:lineRule="auto"/>
        <w:ind w:left="720"/>
        <w:rPr>
          <w:rFonts w:ascii="@Arial Unicode MS" w:eastAsia="@Arial Unicode MS" w:cs="@Arial Unicode MS"/>
          <w:sz w:val="20"/>
          <w:szCs w:val="20"/>
        </w:rPr>
      </w:pPr>
      <w:r>
        <w:rPr>
          <w:rFonts w:ascii="@Arial Unicode MS" w:eastAsia="@Arial Unicode MS" w:cs="@Arial Unicode MS"/>
          <w:sz w:val="20"/>
          <w:szCs w:val="20"/>
        </w:rPr>
        <w:t xml:space="preserve">     b. If we continue, what specific action items would we take on?  Is everyone willing to step forward to work on specific things?  The idea is that we should be accomplishing things, not just listening to reports.</w:t>
      </w:r>
    </w:p>
    <w:p w:rsidR="00EF4A2A" w:rsidRDefault="00F1792A" w:rsidP="0028672F">
      <w:pPr>
        <w:ind w:left="720"/>
        <w:rPr>
          <w:rFonts w:ascii="@Arial Unicode MS" w:eastAsia="@Arial Unicode MS" w:cs="@Arial Unicode MS"/>
          <w:sz w:val="20"/>
          <w:szCs w:val="20"/>
        </w:rPr>
      </w:pPr>
      <w:r>
        <w:rPr>
          <w:rFonts w:ascii="@Arial Unicode MS" w:eastAsia="@Arial Unicode MS" w:cs="@Arial Unicode MS"/>
          <w:sz w:val="20"/>
          <w:szCs w:val="20"/>
        </w:rPr>
        <w:t xml:space="preserve">     c. Or, has this group run its course?  If this group were to disband, there would still be opportunities for people to volunteer for other groups.</w:t>
      </w:r>
      <w:r>
        <w:rPr>
          <w:rFonts w:ascii="@Arial Unicode MS" w:eastAsia="@Arial Unicode MS" w:cs="@Arial Unicode MS"/>
          <w:sz w:val="20"/>
          <w:szCs w:val="20"/>
        </w:rPr>
        <w:t>”</w:t>
      </w:r>
    </w:p>
    <w:p w:rsidR="00F1792A" w:rsidRDefault="00F1792A" w:rsidP="00F1792A">
      <w:pPr>
        <w:rPr>
          <w:rFonts w:ascii="@Arial Unicode MS" w:eastAsia="@Arial Unicode MS" w:cs="@Arial Unicode MS"/>
          <w:sz w:val="20"/>
          <w:szCs w:val="20"/>
        </w:rPr>
      </w:pPr>
    </w:p>
    <w:p w:rsidR="0077276E" w:rsidRDefault="00C7230B" w:rsidP="00F1792A">
      <w:pPr>
        <w:rPr>
          <w:rFonts w:ascii="@Arial Unicode MS" w:eastAsia="@Arial Unicode MS" w:cs="@Arial Unicode MS"/>
          <w:sz w:val="20"/>
          <w:szCs w:val="20"/>
        </w:rPr>
      </w:pPr>
      <w:r>
        <w:rPr>
          <w:rFonts w:ascii="@Arial Unicode MS" w:eastAsia="@Arial Unicode MS" w:cs="@Arial Unicode MS"/>
          <w:sz w:val="20"/>
          <w:szCs w:val="20"/>
        </w:rPr>
        <w:t>T</w:t>
      </w:r>
      <w:r w:rsidR="00F1792A">
        <w:rPr>
          <w:rFonts w:ascii="@Arial Unicode MS" w:eastAsia="@Arial Unicode MS" w:cs="@Arial Unicode MS"/>
          <w:sz w:val="20"/>
          <w:szCs w:val="20"/>
        </w:rPr>
        <w:t xml:space="preserve">he current charge </w:t>
      </w:r>
      <w:r>
        <w:rPr>
          <w:rFonts w:ascii="@Arial Unicode MS" w:eastAsia="@Arial Unicode MS" w:cs="@Arial Unicode MS"/>
          <w:sz w:val="20"/>
          <w:szCs w:val="20"/>
        </w:rPr>
        <w:t>is</w:t>
      </w:r>
      <w:r w:rsidR="00F1792A">
        <w:rPr>
          <w:rFonts w:ascii="@Arial Unicode MS" w:eastAsia="@Arial Unicode MS" w:cs="@Arial Unicode MS"/>
          <w:sz w:val="20"/>
          <w:szCs w:val="20"/>
        </w:rPr>
        <w:t xml:space="preserve"> limit</w:t>
      </w:r>
      <w:r>
        <w:rPr>
          <w:rFonts w:ascii="@Arial Unicode MS" w:eastAsia="@Arial Unicode MS" w:cs="@Arial Unicode MS"/>
          <w:sz w:val="20"/>
          <w:szCs w:val="20"/>
        </w:rPr>
        <w:t>ed</w:t>
      </w:r>
      <w:r w:rsidR="00F1792A">
        <w:rPr>
          <w:rFonts w:ascii="@Arial Unicode MS" w:eastAsia="@Arial Unicode MS" w:cs="@Arial Unicode MS"/>
          <w:sz w:val="20"/>
          <w:szCs w:val="20"/>
        </w:rPr>
        <w:t xml:space="preserve"> to electronic/digital resources.  </w:t>
      </w:r>
      <w:r>
        <w:rPr>
          <w:rFonts w:ascii="@Arial Unicode MS" w:eastAsia="@Arial Unicode MS" w:cs="@Arial Unicode MS"/>
          <w:sz w:val="20"/>
          <w:szCs w:val="20"/>
        </w:rPr>
        <w:t xml:space="preserve">It </w:t>
      </w:r>
      <w:r w:rsidR="00F1792A">
        <w:rPr>
          <w:rFonts w:ascii="@Arial Unicode MS" w:eastAsia="@Arial Unicode MS" w:cs="@Arial Unicode MS"/>
          <w:sz w:val="20"/>
          <w:szCs w:val="20"/>
        </w:rPr>
        <w:t xml:space="preserve">was written at the time that </w:t>
      </w:r>
      <w:r>
        <w:rPr>
          <w:rFonts w:ascii="@Arial Unicode MS" w:eastAsia="@Arial Unicode MS" w:cs="@Arial Unicode MS"/>
          <w:sz w:val="20"/>
          <w:szCs w:val="20"/>
        </w:rPr>
        <w:t xml:space="preserve">the </w:t>
      </w:r>
      <w:r w:rsidR="00F1792A">
        <w:rPr>
          <w:rFonts w:ascii="@Arial Unicode MS" w:eastAsia="@Arial Unicode MS" w:cs="@Arial Unicode MS"/>
          <w:sz w:val="20"/>
          <w:szCs w:val="20"/>
        </w:rPr>
        <w:t xml:space="preserve">Aleph migration was in the works.  Also, the DDAC group had disbanded and DISC had not yet been formed. </w:t>
      </w:r>
      <w:r>
        <w:rPr>
          <w:rFonts w:ascii="@Arial Unicode MS" w:eastAsia="@Arial Unicode MS" w:cs="@Arial Unicode MS"/>
          <w:sz w:val="20"/>
          <w:szCs w:val="20"/>
        </w:rPr>
        <w:t xml:space="preserve"> </w:t>
      </w:r>
      <w:r w:rsidR="00E052F5">
        <w:rPr>
          <w:rFonts w:ascii="@Arial Unicode MS" w:eastAsia="@Arial Unicode MS" w:cs="@Arial Unicode MS"/>
          <w:sz w:val="20"/>
          <w:szCs w:val="20"/>
        </w:rPr>
        <w:t>At that time, the subcommittee was renamed, the charge rewritten, and membership expanded beyond traditional catalog</w:t>
      </w:r>
      <w:r w:rsidR="0077276E">
        <w:rPr>
          <w:rFonts w:ascii="@Arial Unicode MS" w:eastAsia="@Arial Unicode MS" w:cs="@Arial Unicode MS"/>
          <w:sz w:val="20"/>
          <w:szCs w:val="20"/>
        </w:rPr>
        <w:t>ers to include digital projects people.</w:t>
      </w:r>
      <w:r w:rsidR="00E052F5">
        <w:rPr>
          <w:rFonts w:ascii="@Arial Unicode MS" w:eastAsia="@Arial Unicode MS" w:cs="@Arial Unicode MS"/>
          <w:sz w:val="20"/>
          <w:szCs w:val="20"/>
        </w:rPr>
        <w:t xml:space="preserve"> Since that time, DISC has come into being and participation in the Metadata Subcommittee calls has fallen back mostly to catalogers.  </w:t>
      </w:r>
    </w:p>
    <w:p w:rsidR="0077276E" w:rsidRDefault="0077276E" w:rsidP="00F1792A">
      <w:pPr>
        <w:rPr>
          <w:rFonts w:ascii="@Arial Unicode MS" w:eastAsia="@Arial Unicode MS" w:cs="@Arial Unicode MS"/>
          <w:sz w:val="20"/>
          <w:szCs w:val="20"/>
        </w:rPr>
      </w:pPr>
    </w:p>
    <w:p w:rsidR="0077276E" w:rsidRDefault="0077276E" w:rsidP="00F1792A">
      <w:pPr>
        <w:rPr>
          <w:rFonts w:ascii="@Arial Unicode MS" w:eastAsia="@Arial Unicode MS" w:cs="@Arial Unicode MS"/>
          <w:sz w:val="20"/>
          <w:szCs w:val="20"/>
        </w:rPr>
      </w:pPr>
      <w:r w:rsidRPr="0077276E">
        <w:rPr>
          <w:rFonts w:ascii="@Arial Unicode MS" w:eastAsia="@Arial Unicode MS" w:cs="@Arial Unicode MS"/>
          <w:sz w:val="20"/>
          <w:szCs w:val="20"/>
        </w:rPr>
        <w:lastRenderedPageBreak/>
        <w:t xml:space="preserve">After discussion, the call participants agreed that there still is work for this group to do. </w:t>
      </w:r>
      <w:r>
        <w:rPr>
          <w:rFonts w:ascii="@Arial Unicode MS" w:eastAsia="@Arial Unicode MS" w:cs="@Arial Unicode MS"/>
          <w:sz w:val="20"/>
          <w:szCs w:val="20"/>
        </w:rPr>
        <w:t xml:space="preserve"> It was felt that the scope of the group should be examined and changed.  W</w:t>
      </w:r>
      <w:r w:rsidR="00C7230B">
        <w:rPr>
          <w:rFonts w:ascii="@Arial Unicode MS" w:eastAsia="@Arial Unicode MS" w:cs="@Arial Unicode MS"/>
          <w:sz w:val="20"/>
          <w:szCs w:val="20"/>
        </w:rPr>
        <w:t>e should r</w:t>
      </w:r>
      <w:r w:rsidR="0001475E">
        <w:rPr>
          <w:rFonts w:ascii="@Arial Unicode MS" w:eastAsia="@Arial Unicode MS" w:cs="@Arial Unicode MS"/>
          <w:sz w:val="20"/>
          <w:szCs w:val="20"/>
        </w:rPr>
        <w:t xml:space="preserve">ewrite the charge to expand it beyond e-resources.  </w:t>
      </w:r>
      <w:r>
        <w:rPr>
          <w:rFonts w:ascii="@Arial Unicode MS" w:eastAsia="@Arial Unicode MS" w:cs="@Arial Unicode MS"/>
          <w:sz w:val="20"/>
          <w:szCs w:val="20"/>
        </w:rPr>
        <w:t xml:space="preserve">  </w:t>
      </w:r>
    </w:p>
    <w:p w:rsidR="0077276E" w:rsidRDefault="0077276E" w:rsidP="00F1792A">
      <w:pPr>
        <w:rPr>
          <w:rFonts w:ascii="@Arial Unicode MS" w:eastAsia="@Arial Unicode MS" w:cs="@Arial Unicode MS"/>
          <w:sz w:val="20"/>
          <w:szCs w:val="20"/>
        </w:rPr>
      </w:pPr>
    </w:p>
    <w:p w:rsidR="00C7230B" w:rsidRDefault="0077276E" w:rsidP="00F1792A">
      <w:pPr>
        <w:rPr>
          <w:rFonts w:ascii="@Arial Unicode MS" w:eastAsia="@Arial Unicode MS" w:cs="@Arial Unicode MS"/>
          <w:sz w:val="20"/>
          <w:szCs w:val="20"/>
        </w:rPr>
      </w:pPr>
      <w:r>
        <w:rPr>
          <w:rFonts w:ascii="@Arial Unicode MS" w:eastAsia="@Arial Unicode MS" w:cs="@Arial Unicode MS"/>
          <w:sz w:val="20"/>
          <w:szCs w:val="20"/>
        </w:rPr>
        <w:t>The group decided that calls should be held</w:t>
      </w:r>
      <w:r w:rsidR="00CA1A01">
        <w:rPr>
          <w:rFonts w:ascii="@Arial Unicode MS" w:eastAsia="@Arial Unicode MS" w:cs="@Arial Unicode MS"/>
          <w:sz w:val="20"/>
          <w:szCs w:val="20"/>
        </w:rPr>
        <w:t xml:space="preserve"> on an ad hoc basis depending upon whether there w</w:t>
      </w:r>
      <w:r w:rsidR="007516C5">
        <w:rPr>
          <w:rFonts w:ascii="@Arial Unicode MS" w:eastAsia="@Arial Unicode MS" w:cs="@Arial Unicode MS"/>
          <w:sz w:val="20"/>
          <w:szCs w:val="20"/>
        </w:rPr>
        <w:t>as</w:t>
      </w:r>
      <w:r w:rsidR="00CA1A01">
        <w:rPr>
          <w:rFonts w:ascii="@Arial Unicode MS" w:eastAsia="@Arial Unicode MS" w:cs="@Arial Unicode MS"/>
          <w:sz w:val="20"/>
          <w:szCs w:val="20"/>
        </w:rPr>
        <w:t xml:space="preserve"> </w:t>
      </w:r>
      <w:r w:rsidR="00E052F5">
        <w:rPr>
          <w:rFonts w:ascii="@Arial Unicode MS" w:eastAsia="@Arial Unicode MS" w:cs="@Arial Unicode MS"/>
          <w:sz w:val="20"/>
          <w:szCs w:val="20"/>
        </w:rPr>
        <w:t>work for us to do.</w:t>
      </w:r>
    </w:p>
    <w:p w:rsidR="00C7230B" w:rsidRDefault="00C7230B" w:rsidP="00F1792A">
      <w:pPr>
        <w:rPr>
          <w:rFonts w:ascii="@Arial Unicode MS" w:eastAsia="@Arial Unicode MS" w:cs="@Arial Unicode MS"/>
          <w:sz w:val="20"/>
          <w:szCs w:val="20"/>
        </w:rPr>
      </w:pPr>
    </w:p>
    <w:p w:rsidR="00F1792A" w:rsidRDefault="00CA1A01" w:rsidP="00F1792A">
      <w:pPr>
        <w:rPr>
          <w:rFonts w:ascii="@Arial Unicode MS" w:eastAsia="@Arial Unicode MS" w:cs="@Arial Unicode MS"/>
          <w:sz w:val="20"/>
          <w:szCs w:val="20"/>
        </w:rPr>
      </w:pPr>
      <w:r>
        <w:rPr>
          <w:rFonts w:ascii="@Arial Unicode MS" w:eastAsia="@Arial Unicode MS" w:cs="@Arial Unicode MS"/>
          <w:sz w:val="20"/>
          <w:szCs w:val="20"/>
        </w:rPr>
        <w:t>The group</w:t>
      </w:r>
      <w:r w:rsidR="00E052F5">
        <w:rPr>
          <w:rFonts w:ascii="@Arial Unicode MS" w:eastAsia="@Arial Unicode MS" w:cs="@Arial Unicode MS"/>
          <w:sz w:val="20"/>
          <w:szCs w:val="20"/>
        </w:rPr>
        <w:t xml:space="preserve"> decided that we</w:t>
      </w:r>
      <w:r>
        <w:rPr>
          <w:rFonts w:ascii="@Arial Unicode MS" w:eastAsia="@Arial Unicode MS" w:cs="@Arial Unicode MS"/>
          <w:sz w:val="20"/>
          <w:szCs w:val="20"/>
        </w:rPr>
        <w:t xml:space="preserve"> would work on</w:t>
      </w:r>
      <w:r w:rsidR="0001475E">
        <w:rPr>
          <w:rFonts w:ascii="@Arial Unicode MS" w:eastAsia="@Arial Unicode MS" w:cs="@Arial Unicode MS"/>
          <w:sz w:val="20"/>
          <w:szCs w:val="20"/>
        </w:rPr>
        <w:t>:</w:t>
      </w:r>
    </w:p>
    <w:p w:rsidR="00F1792A" w:rsidRDefault="002A43F0" w:rsidP="00F1792A">
      <w:pPr>
        <w:pStyle w:val="ListParagraph"/>
        <w:numPr>
          <w:ilvl w:val="0"/>
          <w:numId w:val="2"/>
        </w:numPr>
      </w:pPr>
      <w:r>
        <w:t>Re</w:t>
      </w:r>
      <w:r w:rsidR="007516C5">
        <w:t>-</w:t>
      </w:r>
      <w:r>
        <w:t>focusing the work of the group and e</w:t>
      </w:r>
      <w:r w:rsidR="00C7230B">
        <w:t xml:space="preserve">xpansion of </w:t>
      </w:r>
      <w:r w:rsidR="0001475E">
        <w:t>the group’s charge beyond e-resources.</w:t>
      </w:r>
      <w:r w:rsidR="00C7230B">
        <w:t xml:space="preserve">  Determining where the boundaries of our work should </w:t>
      </w:r>
      <w:r w:rsidR="007516C5">
        <w:t>b</w:t>
      </w:r>
      <w:r w:rsidR="00C7230B">
        <w:t>e</w:t>
      </w:r>
      <w:r w:rsidR="007516C5">
        <w:t>,</w:t>
      </w:r>
      <w:r w:rsidR="00C7230B">
        <w:t xml:space="preserve"> taking into account the work being done in other groups.</w:t>
      </w:r>
    </w:p>
    <w:p w:rsidR="0001475E" w:rsidRDefault="0001475E" w:rsidP="00F1792A">
      <w:pPr>
        <w:pStyle w:val="ListParagraph"/>
        <w:numPr>
          <w:ilvl w:val="0"/>
          <w:numId w:val="2"/>
        </w:numPr>
      </w:pPr>
      <w:r>
        <w:t xml:space="preserve">Recommendations for the use of DLU01 and </w:t>
      </w:r>
      <w:proofErr w:type="spellStart"/>
      <w:r>
        <w:t>DigiTool</w:t>
      </w:r>
      <w:proofErr w:type="spellEnd"/>
      <w:r>
        <w:t xml:space="preserve"> for describing resources.</w:t>
      </w:r>
    </w:p>
    <w:p w:rsidR="0001475E" w:rsidRDefault="00CA1A01" w:rsidP="00F1792A">
      <w:pPr>
        <w:pStyle w:val="ListParagraph"/>
        <w:numPr>
          <w:ilvl w:val="0"/>
          <w:numId w:val="2"/>
        </w:numPr>
      </w:pPr>
      <w:r>
        <w:t xml:space="preserve">Recommendations for how </w:t>
      </w:r>
      <w:r w:rsidR="0001475E">
        <w:t>record</w:t>
      </w:r>
      <w:r w:rsidR="00673F65">
        <w:t xml:space="preserve">s such as those from OSTI </w:t>
      </w:r>
      <w:r w:rsidR="00EE17B3">
        <w:t xml:space="preserve">and other vendors </w:t>
      </w:r>
      <w:r>
        <w:t xml:space="preserve">should be </w:t>
      </w:r>
      <w:r w:rsidR="008F69DD">
        <w:t>inco</w:t>
      </w:r>
      <w:r w:rsidR="00B36609">
        <w:t xml:space="preserve">rporated into the SUL </w:t>
      </w:r>
      <w:r w:rsidR="00673F65">
        <w:t>resources</w:t>
      </w:r>
      <w:r w:rsidR="00B36609">
        <w:t>, which system to use, etc.</w:t>
      </w:r>
    </w:p>
    <w:p w:rsidR="0001475E" w:rsidRDefault="00CA1A01" w:rsidP="00F1792A">
      <w:pPr>
        <w:pStyle w:val="ListParagraph"/>
        <w:numPr>
          <w:ilvl w:val="0"/>
          <w:numId w:val="2"/>
        </w:numPr>
      </w:pPr>
      <w:r>
        <w:t xml:space="preserve">Recommendations relating to metadata in </w:t>
      </w:r>
      <w:r w:rsidR="00D64BEF">
        <w:t>Mango.</w:t>
      </w:r>
    </w:p>
    <w:p w:rsidR="00CA1A01" w:rsidRDefault="00CA1A01" w:rsidP="00F1792A">
      <w:pPr>
        <w:pStyle w:val="ListParagraph"/>
        <w:numPr>
          <w:ilvl w:val="0"/>
          <w:numId w:val="2"/>
        </w:numPr>
      </w:pPr>
      <w:r>
        <w:t>Issues relating to RDA.</w:t>
      </w:r>
    </w:p>
    <w:p w:rsidR="003A26AC" w:rsidRDefault="003A26AC" w:rsidP="00F1792A">
      <w:pPr>
        <w:pStyle w:val="ListParagraph"/>
        <w:numPr>
          <w:ilvl w:val="0"/>
          <w:numId w:val="2"/>
        </w:numPr>
      </w:pPr>
      <w:r>
        <w:t>Guidelines for choosing from a variety of metadata systems depending upon the unique needs of individual projects.  For example, full level MARC cataloging, K-level MARC, Dublin Core, etc., each with examples.</w:t>
      </w:r>
    </w:p>
    <w:p w:rsidR="00CA1A01" w:rsidRDefault="00CA1A01" w:rsidP="00CA1A01"/>
    <w:p w:rsidR="00E052F5" w:rsidRDefault="00CA1A01" w:rsidP="00D721D3">
      <w:r>
        <w:t>The group agreed that the chair of the Metadata Subcommittee should remind TSPC when an issue or project should be funneled to this group.</w:t>
      </w:r>
    </w:p>
    <w:p w:rsidR="00E052F5" w:rsidRDefault="00E052F5" w:rsidP="00D721D3"/>
    <w:p w:rsidR="00F1792A" w:rsidRDefault="00E052F5" w:rsidP="00D721D3">
      <w:r>
        <w:t>Beca</w:t>
      </w:r>
      <w:r w:rsidR="00FD1F53">
        <w:t>use call participation has fallen, t</w:t>
      </w:r>
      <w:r w:rsidR="00907F6C">
        <w:t>he chair should</w:t>
      </w:r>
      <w:r>
        <w:t xml:space="preserve"> ask TSPC members to send the names of</w:t>
      </w:r>
      <w:r w:rsidR="00FD1F53">
        <w:t xml:space="preserve"> those persons </w:t>
      </w:r>
      <w:r w:rsidR="002C469F">
        <w:t xml:space="preserve">from each institution </w:t>
      </w:r>
      <w:r w:rsidR="00FD1F53">
        <w:t>who are still willing to serve actively on the Metadata Subcommittee.</w:t>
      </w:r>
    </w:p>
    <w:p w:rsidR="00B90B39" w:rsidRDefault="00B90B39" w:rsidP="00D721D3"/>
    <w:p w:rsidR="006B04E4" w:rsidRDefault="006B04E4" w:rsidP="00D721D3">
      <w:r>
        <w:t xml:space="preserve">Currently, the Metadata/DISC joint working group has two members with MARC expertise, Naomi Young and Linda Smith.  Linda is going to retire soon, so Brian </w:t>
      </w:r>
      <w:proofErr w:type="spellStart"/>
      <w:r>
        <w:t>Falato</w:t>
      </w:r>
      <w:proofErr w:type="spellEnd"/>
      <w:r>
        <w:t xml:space="preserve"> has volunteered to serve in her place.</w:t>
      </w:r>
    </w:p>
    <w:p w:rsidR="00A51203" w:rsidRDefault="00A51203" w:rsidP="00D721D3"/>
    <w:p w:rsidR="004163DE" w:rsidRDefault="00282782" w:rsidP="004163DE">
      <w:r w:rsidRPr="00B23351">
        <w:rPr>
          <w:b/>
        </w:rPr>
        <w:t>Action item:</w:t>
      </w:r>
      <w:r>
        <w:t xml:space="preserve"> </w:t>
      </w:r>
      <w:r w:rsidR="004163DE">
        <w:t>Before the next call, members should think about how the group should be re</w:t>
      </w:r>
      <w:r w:rsidR="007516C5">
        <w:t>-</w:t>
      </w:r>
      <w:bookmarkStart w:id="0" w:name="_GoBack"/>
      <w:bookmarkEnd w:id="0"/>
      <w:r w:rsidR="004163DE">
        <w:t>focused beyond e-resources and how the charge should be rewritten to reflect that new focus.</w:t>
      </w:r>
    </w:p>
    <w:p w:rsidR="004163DE" w:rsidRDefault="004163DE" w:rsidP="004163DE"/>
    <w:p w:rsidR="00A51203" w:rsidRDefault="00B23351" w:rsidP="00D721D3">
      <w:r>
        <w:rPr>
          <w:b/>
        </w:rPr>
        <w:t>Next</w:t>
      </w:r>
      <w:r w:rsidR="00A51203" w:rsidRPr="00B23351">
        <w:rPr>
          <w:b/>
        </w:rPr>
        <w:t xml:space="preserve"> call</w:t>
      </w:r>
      <w:r>
        <w:rPr>
          <w:b/>
        </w:rPr>
        <w:t>:</w:t>
      </w:r>
      <w:r w:rsidR="00A51203">
        <w:t xml:space="preserve"> March 10, 2010 at 2:00 p.m.</w:t>
      </w:r>
    </w:p>
    <w:p w:rsidR="00CC28B3" w:rsidRDefault="00CC28B3" w:rsidP="00D721D3">
      <w:r w:rsidRPr="00B23351">
        <w:rPr>
          <w:b/>
        </w:rPr>
        <w:t>Recorder:</w:t>
      </w:r>
      <w:r>
        <w:t xml:space="preserve"> Kimberly Montgomery</w:t>
      </w:r>
    </w:p>
    <w:p w:rsidR="00CC28B3" w:rsidRPr="00D721D3" w:rsidRDefault="00CC28B3" w:rsidP="00D721D3"/>
    <w:sectPr w:rsidR="00CC28B3" w:rsidRPr="00D721D3" w:rsidSect="003875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70" w:rsidRDefault="00143770" w:rsidP="00143770">
      <w:pPr>
        <w:spacing w:line="240" w:lineRule="auto"/>
      </w:pPr>
      <w:r>
        <w:separator/>
      </w:r>
    </w:p>
  </w:endnote>
  <w:endnote w:type="continuationSeparator" w:id="0">
    <w:p w:rsidR="00143770" w:rsidRDefault="00143770" w:rsidP="00143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7657"/>
      <w:docPartObj>
        <w:docPartGallery w:val="Page Numbers (Bottom of Page)"/>
        <w:docPartUnique/>
      </w:docPartObj>
    </w:sdtPr>
    <w:sdtEndPr/>
    <w:sdtContent>
      <w:p w:rsidR="00143770" w:rsidRDefault="007516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3770" w:rsidRDefault="00143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70" w:rsidRDefault="00143770" w:rsidP="00143770">
      <w:pPr>
        <w:spacing w:line="240" w:lineRule="auto"/>
      </w:pPr>
      <w:r>
        <w:separator/>
      </w:r>
    </w:p>
  </w:footnote>
  <w:footnote w:type="continuationSeparator" w:id="0">
    <w:p w:rsidR="00143770" w:rsidRDefault="00143770" w:rsidP="00143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222"/>
    <w:multiLevelType w:val="hybridMultilevel"/>
    <w:tmpl w:val="3196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F4532"/>
    <w:multiLevelType w:val="hybridMultilevel"/>
    <w:tmpl w:val="A93C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2A"/>
    <w:rsid w:val="0001475E"/>
    <w:rsid w:val="0003512A"/>
    <w:rsid w:val="000378E3"/>
    <w:rsid w:val="0008016A"/>
    <w:rsid w:val="000852BC"/>
    <w:rsid w:val="00143770"/>
    <w:rsid w:val="00153868"/>
    <w:rsid w:val="00176955"/>
    <w:rsid w:val="001A6348"/>
    <w:rsid w:val="00282782"/>
    <w:rsid w:val="0028672F"/>
    <w:rsid w:val="002A43F0"/>
    <w:rsid w:val="002C469F"/>
    <w:rsid w:val="003875F0"/>
    <w:rsid w:val="003A26AC"/>
    <w:rsid w:val="004163DE"/>
    <w:rsid w:val="00436732"/>
    <w:rsid w:val="00474B28"/>
    <w:rsid w:val="00673F65"/>
    <w:rsid w:val="00676299"/>
    <w:rsid w:val="006B04E4"/>
    <w:rsid w:val="007516C5"/>
    <w:rsid w:val="0077276E"/>
    <w:rsid w:val="0079063F"/>
    <w:rsid w:val="007918D2"/>
    <w:rsid w:val="008F69DD"/>
    <w:rsid w:val="00907F6C"/>
    <w:rsid w:val="00934137"/>
    <w:rsid w:val="00A51203"/>
    <w:rsid w:val="00B23351"/>
    <w:rsid w:val="00B36609"/>
    <w:rsid w:val="00B460A0"/>
    <w:rsid w:val="00B557F5"/>
    <w:rsid w:val="00B90B39"/>
    <w:rsid w:val="00C7230B"/>
    <w:rsid w:val="00CA1A01"/>
    <w:rsid w:val="00CC28B3"/>
    <w:rsid w:val="00D64BEF"/>
    <w:rsid w:val="00D721D3"/>
    <w:rsid w:val="00E052F5"/>
    <w:rsid w:val="00EC6E4E"/>
    <w:rsid w:val="00EE17B3"/>
    <w:rsid w:val="00EF4A2A"/>
    <w:rsid w:val="00F1792A"/>
    <w:rsid w:val="00FD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paragraph" w:styleId="Header">
    <w:name w:val="header"/>
    <w:basedOn w:val="Normal"/>
    <w:link w:val="HeaderChar"/>
    <w:uiPriority w:val="99"/>
    <w:semiHidden/>
    <w:unhideWhenUsed/>
    <w:rsid w:val="001437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43770"/>
  </w:style>
  <w:style w:type="paragraph" w:styleId="Footer">
    <w:name w:val="footer"/>
    <w:basedOn w:val="Normal"/>
    <w:link w:val="FooterChar"/>
    <w:uiPriority w:val="99"/>
    <w:unhideWhenUsed/>
    <w:rsid w:val="00143770"/>
    <w:pPr>
      <w:tabs>
        <w:tab w:val="center" w:pos="4680"/>
        <w:tab w:val="right" w:pos="9360"/>
      </w:tabs>
      <w:spacing w:line="240" w:lineRule="auto"/>
    </w:pPr>
  </w:style>
  <w:style w:type="character" w:customStyle="1" w:styleId="FooterChar">
    <w:name w:val="Footer Char"/>
    <w:basedOn w:val="DefaultParagraphFont"/>
    <w:link w:val="Footer"/>
    <w:uiPriority w:val="99"/>
    <w:rsid w:val="00143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paragraph" w:styleId="Header">
    <w:name w:val="header"/>
    <w:basedOn w:val="Normal"/>
    <w:link w:val="HeaderChar"/>
    <w:uiPriority w:val="99"/>
    <w:semiHidden/>
    <w:unhideWhenUsed/>
    <w:rsid w:val="001437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43770"/>
  </w:style>
  <w:style w:type="paragraph" w:styleId="Footer">
    <w:name w:val="footer"/>
    <w:basedOn w:val="Normal"/>
    <w:link w:val="FooterChar"/>
    <w:uiPriority w:val="99"/>
    <w:unhideWhenUsed/>
    <w:rsid w:val="00143770"/>
    <w:pPr>
      <w:tabs>
        <w:tab w:val="center" w:pos="4680"/>
        <w:tab w:val="right" w:pos="9360"/>
      </w:tabs>
      <w:spacing w:line="240" w:lineRule="auto"/>
    </w:pPr>
  </w:style>
  <w:style w:type="character" w:customStyle="1" w:styleId="FooterChar">
    <w:name w:val="Footer Char"/>
    <w:basedOn w:val="DefaultParagraphFont"/>
    <w:link w:val="Footer"/>
    <w:uiPriority w:val="99"/>
    <w:rsid w:val="0014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UCFLibPCUniversity of Central Florida</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1</cp:revision>
  <dcterms:created xsi:type="dcterms:W3CDTF">2010-02-10T20:07:00Z</dcterms:created>
  <dcterms:modified xsi:type="dcterms:W3CDTF">2011-09-20T20:02:00Z</dcterms:modified>
</cp:coreProperties>
</file>