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121" w:rsidRDefault="00255786">
      <w:pPr>
        <w:pStyle w:val="QLabel"/>
        <w:jc w:val="right"/>
        <w:rPr>
          <w:szCs w:val="50"/>
        </w:rPr>
      </w:pPr>
      <w:r>
        <w:t>My Report</w:t>
      </w:r>
    </w:p>
    <w:p w:rsidR="00BA4121" w:rsidRDefault="00255786">
      <w:pPr>
        <w:pStyle w:val="QSummary"/>
        <w:jc w:val="right"/>
        <w:rPr>
          <w:szCs w:val="14"/>
        </w:rPr>
      </w:pPr>
      <w:r>
        <w:t>Last Modified: 04/24/2014</w:t>
      </w:r>
    </w:p>
    <w:p w:rsidR="00BA4121" w:rsidRDefault="00255786">
      <w:pPr>
        <w:pStyle w:val="QLabel"/>
        <w:keepNext/>
      </w:pPr>
      <w:r>
        <w:t>1.  1a.    Would your institution be willing to consider an extended ILL loan period for regular circulating items?</w:t>
      </w:r>
    </w:p>
    <w:tbl>
      <w:tblPr>
        <w:tblStyle w:val="QTable"/>
        <w:tblW w:w="9576" w:type="auto"/>
        <w:tblLook w:val="04E0" w:firstRow="1" w:lastRow="1" w:firstColumn="1" w:lastColumn="0" w:noHBand="0" w:noVBand="1"/>
      </w:tblPr>
      <w:tblGrid>
        <w:gridCol w:w="1299"/>
        <w:gridCol w:w="1589"/>
        <w:gridCol w:w="3588"/>
        <w:gridCol w:w="1641"/>
        <w:gridCol w:w="1473"/>
      </w:tblGrid>
      <w:tr w:rsidR="00BA4121">
        <w:tc>
          <w:tcPr>
            <w:tcW w:w="1915" w:type="dxa"/>
            <w:shd w:val="clear" w:color="auto" w:fill="58595B"/>
          </w:tcPr>
          <w:p w:rsidR="00BA4121" w:rsidRDefault="00255786">
            <w:pPr>
              <w:pStyle w:val="WhiteText"/>
              <w:keepNext/>
              <w:jc w:val="center"/>
            </w:pPr>
            <w:r>
              <w:t>#</w:t>
            </w:r>
          </w:p>
        </w:tc>
        <w:tc>
          <w:tcPr>
            <w:tcW w:w="1915" w:type="dxa"/>
            <w:shd w:val="clear" w:color="auto" w:fill="58595B"/>
          </w:tcPr>
          <w:p w:rsidR="00BA4121" w:rsidRDefault="00255786">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BA4121" w:rsidTr="00BA4121">
              <w:tc>
                <w:tcPr>
                  <w:cnfStyle w:val="001000000000" w:firstRow="0" w:lastRow="0" w:firstColumn="1" w:lastColumn="0" w:oddVBand="0" w:evenVBand="0" w:oddHBand="0" w:evenHBand="0" w:firstRowFirstColumn="0" w:firstRowLastColumn="0" w:lastRowFirstColumn="0" w:lastRowLastColumn="0"/>
                  <w:tcW w:w="0" w:type="dxa"/>
                </w:tcPr>
                <w:p w:rsidR="00BA4121" w:rsidRDefault="00BA4121">
                  <w:pPr>
                    <w:pStyle w:val="WhiteText"/>
                    <w:rPr>
                      <w:szCs w:val="14"/>
                    </w:rPr>
                  </w:pPr>
                </w:p>
              </w:tc>
              <w:tc>
                <w:tcPr>
                  <w:tcW w:w="3578" w:type="dxa"/>
                </w:tcPr>
                <w:p w:rsidR="00BA4121" w:rsidRDefault="00BA4121">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A4121" w:rsidRDefault="00BA4121"/>
        </w:tc>
        <w:tc>
          <w:tcPr>
            <w:tcW w:w="1915" w:type="dxa"/>
            <w:shd w:val="clear" w:color="auto" w:fill="58595B"/>
          </w:tcPr>
          <w:p w:rsidR="00BA4121" w:rsidRDefault="00255786">
            <w:pPr>
              <w:pStyle w:val="WhiteText"/>
              <w:keepNext/>
              <w:jc w:val="center"/>
            </w:pPr>
            <w:r>
              <w:t>Response</w:t>
            </w:r>
          </w:p>
        </w:tc>
        <w:tc>
          <w:tcPr>
            <w:tcW w:w="1915" w:type="dxa"/>
            <w:shd w:val="clear" w:color="auto" w:fill="58595B"/>
          </w:tcPr>
          <w:p w:rsidR="00BA4121" w:rsidRDefault="00255786">
            <w:pPr>
              <w:pStyle w:val="WhiteText"/>
              <w:keepNext/>
              <w:jc w:val="center"/>
            </w:pPr>
            <w:r>
              <w:t>%</w:t>
            </w:r>
          </w:p>
        </w:tc>
      </w:tr>
      <w:tr w:rsidR="00BA4121">
        <w:tc>
          <w:tcPr>
            <w:tcW w:w="1915" w:type="dxa"/>
            <w:shd w:val="clear" w:color="auto" w:fill="FEFBE7"/>
          </w:tcPr>
          <w:p w:rsidR="00BA4121" w:rsidRDefault="00255786">
            <w:pPr>
              <w:keepNext/>
              <w:jc w:val="center"/>
            </w:pPr>
            <w:r>
              <w:t>1</w:t>
            </w:r>
          </w:p>
        </w:tc>
        <w:tc>
          <w:tcPr>
            <w:tcW w:w="1915" w:type="dxa"/>
            <w:shd w:val="clear" w:color="auto" w:fill="FEFBE7"/>
          </w:tcPr>
          <w:p w:rsidR="00BA4121" w:rsidRDefault="00255786">
            <w:pPr>
              <w:keepNext/>
            </w:pPr>
            <w:r>
              <w:t>We are willing to consider a 60 day loan period.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952"/>
              <w:gridCol w:w="1626"/>
            </w:tblGrid>
            <w:tr w:rsidR="00BA4121" w:rsidTr="00BA4121">
              <w:tc>
                <w:tcPr>
                  <w:cnfStyle w:val="001000000000" w:firstRow="0" w:lastRow="0" w:firstColumn="1" w:lastColumn="0" w:oddVBand="0" w:evenVBand="0" w:oddHBand="0" w:evenHBand="0" w:firstRowFirstColumn="0" w:firstRowLastColumn="0" w:lastRowFirstColumn="0" w:lastRowLastColumn="0"/>
                  <w:tcW w:w="1952" w:type="dxa"/>
                </w:tcPr>
                <w:p w:rsidR="00BA4121" w:rsidRDefault="00BA4121">
                  <w:pPr>
                    <w:pStyle w:val="WhiteText"/>
                    <w:rPr>
                      <w:szCs w:val="14"/>
                    </w:rPr>
                  </w:pPr>
                </w:p>
              </w:tc>
              <w:tc>
                <w:tcPr>
                  <w:tcW w:w="1626" w:type="dxa"/>
                </w:tcPr>
                <w:p w:rsidR="00BA4121" w:rsidRDefault="00BA4121">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A4121" w:rsidRDefault="00BA4121"/>
        </w:tc>
        <w:tc>
          <w:tcPr>
            <w:tcW w:w="1915" w:type="dxa"/>
            <w:shd w:val="clear" w:color="auto" w:fill="FEFBE7"/>
          </w:tcPr>
          <w:p w:rsidR="00BA4121" w:rsidRDefault="00255786">
            <w:pPr>
              <w:keepNext/>
              <w:jc w:val="center"/>
            </w:pPr>
            <w:r>
              <w:t>12</w:t>
            </w:r>
          </w:p>
        </w:tc>
        <w:tc>
          <w:tcPr>
            <w:tcW w:w="1915" w:type="dxa"/>
            <w:shd w:val="clear" w:color="auto" w:fill="FEFBE7"/>
          </w:tcPr>
          <w:p w:rsidR="00BA4121" w:rsidRDefault="00255786">
            <w:pPr>
              <w:keepNext/>
              <w:jc w:val="center"/>
            </w:pPr>
            <w:r>
              <w:t>55%</w:t>
            </w:r>
          </w:p>
        </w:tc>
      </w:tr>
      <w:tr w:rsidR="00BA4121">
        <w:tc>
          <w:tcPr>
            <w:tcW w:w="1915" w:type="dxa"/>
          </w:tcPr>
          <w:p w:rsidR="00BA4121" w:rsidRDefault="00255786">
            <w:pPr>
              <w:keepNext/>
              <w:jc w:val="center"/>
            </w:pPr>
            <w:r>
              <w:t>2</w:t>
            </w:r>
          </w:p>
        </w:tc>
        <w:tc>
          <w:tcPr>
            <w:tcW w:w="1915" w:type="dxa"/>
          </w:tcPr>
          <w:p w:rsidR="00BA4121" w:rsidRDefault="00255786">
            <w:pPr>
              <w:keepNext/>
            </w:pPr>
            <w:r>
              <w:t xml:space="preserve">We would </w:t>
            </w:r>
            <w:r>
              <w:t>consider an alternate loan period. Specify</w:t>
            </w:r>
          </w:p>
        </w:tc>
        <w:tc>
          <w:tcPr>
            <w:tcW w:w="3588" w:type="dxa"/>
            <w:noWrap/>
            <w:tcMar>
              <w:left w:w="0" w:type="dxa"/>
              <w:right w:w="0" w:type="dxa"/>
            </w:tcMar>
          </w:tcPr>
          <w:tbl>
            <w:tblPr>
              <w:tblStyle w:val="QBar"/>
              <w:tblW w:w="3578" w:type="auto"/>
              <w:tblLook w:val="04A0" w:firstRow="1" w:lastRow="0" w:firstColumn="1" w:lastColumn="0" w:noHBand="0" w:noVBand="1"/>
            </w:tblPr>
            <w:tblGrid>
              <w:gridCol w:w="1464"/>
              <w:gridCol w:w="2114"/>
            </w:tblGrid>
            <w:tr w:rsidR="00BA4121" w:rsidTr="00BA4121">
              <w:tc>
                <w:tcPr>
                  <w:cnfStyle w:val="001000000000" w:firstRow="0" w:lastRow="0" w:firstColumn="1" w:lastColumn="0" w:oddVBand="0" w:evenVBand="0" w:oddHBand="0" w:evenHBand="0" w:firstRowFirstColumn="0" w:firstRowLastColumn="0" w:lastRowFirstColumn="0" w:lastRowLastColumn="0"/>
                  <w:tcW w:w="1464" w:type="dxa"/>
                </w:tcPr>
                <w:p w:rsidR="00BA4121" w:rsidRDefault="00BA4121">
                  <w:pPr>
                    <w:pStyle w:val="WhiteText"/>
                    <w:rPr>
                      <w:szCs w:val="14"/>
                    </w:rPr>
                  </w:pPr>
                </w:p>
              </w:tc>
              <w:tc>
                <w:tcPr>
                  <w:tcW w:w="2114" w:type="dxa"/>
                </w:tcPr>
                <w:p w:rsidR="00BA4121" w:rsidRDefault="00BA4121">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A4121" w:rsidRDefault="00BA4121"/>
        </w:tc>
        <w:tc>
          <w:tcPr>
            <w:tcW w:w="1915" w:type="dxa"/>
          </w:tcPr>
          <w:p w:rsidR="00BA4121" w:rsidRDefault="00255786">
            <w:pPr>
              <w:keepNext/>
              <w:jc w:val="center"/>
            </w:pPr>
            <w:r>
              <w:t>9</w:t>
            </w:r>
          </w:p>
        </w:tc>
        <w:tc>
          <w:tcPr>
            <w:tcW w:w="1915" w:type="dxa"/>
          </w:tcPr>
          <w:p w:rsidR="00BA4121" w:rsidRDefault="00255786">
            <w:pPr>
              <w:keepNext/>
              <w:jc w:val="center"/>
            </w:pPr>
            <w:r>
              <w:t>41%</w:t>
            </w:r>
          </w:p>
        </w:tc>
      </w:tr>
      <w:tr w:rsidR="00BA4121">
        <w:tc>
          <w:tcPr>
            <w:tcW w:w="1915" w:type="dxa"/>
            <w:shd w:val="clear" w:color="auto" w:fill="FEFBE7"/>
          </w:tcPr>
          <w:p w:rsidR="00BA4121" w:rsidRDefault="00255786">
            <w:pPr>
              <w:keepNext/>
              <w:jc w:val="center"/>
            </w:pPr>
            <w:r>
              <w:t>3</w:t>
            </w:r>
          </w:p>
        </w:tc>
        <w:tc>
          <w:tcPr>
            <w:tcW w:w="1915" w:type="dxa"/>
            <w:shd w:val="clear" w:color="auto" w:fill="FEFBE7"/>
          </w:tcPr>
          <w:p w:rsidR="00BA4121" w:rsidRDefault="00255786">
            <w:pPr>
              <w:keepNext/>
            </w:pPr>
            <w:r>
              <w:t>We prefer our current loan period. Specify current loan period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63"/>
              <w:gridCol w:w="3415"/>
            </w:tblGrid>
            <w:tr w:rsidR="00BA4121" w:rsidTr="00BA4121">
              <w:tc>
                <w:tcPr>
                  <w:cnfStyle w:val="001000000000" w:firstRow="0" w:lastRow="0" w:firstColumn="1" w:lastColumn="0" w:oddVBand="0" w:evenVBand="0" w:oddHBand="0" w:evenHBand="0" w:firstRowFirstColumn="0" w:firstRowLastColumn="0" w:lastRowFirstColumn="0" w:lastRowLastColumn="0"/>
                  <w:tcW w:w="163" w:type="dxa"/>
                </w:tcPr>
                <w:p w:rsidR="00BA4121" w:rsidRDefault="00BA4121">
                  <w:pPr>
                    <w:pStyle w:val="WhiteText"/>
                    <w:rPr>
                      <w:szCs w:val="14"/>
                    </w:rPr>
                  </w:pPr>
                </w:p>
              </w:tc>
              <w:tc>
                <w:tcPr>
                  <w:tcW w:w="3415" w:type="dxa"/>
                </w:tcPr>
                <w:p w:rsidR="00BA4121" w:rsidRDefault="00BA4121">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A4121" w:rsidRDefault="00BA4121"/>
        </w:tc>
        <w:tc>
          <w:tcPr>
            <w:tcW w:w="1915" w:type="dxa"/>
            <w:shd w:val="clear" w:color="auto" w:fill="FEFBE7"/>
          </w:tcPr>
          <w:p w:rsidR="00BA4121" w:rsidRDefault="00255786">
            <w:pPr>
              <w:keepNext/>
              <w:jc w:val="center"/>
            </w:pPr>
            <w:r>
              <w:t>1</w:t>
            </w:r>
          </w:p>
        </w:tc>
        <w:tc>
          <w:tcPr>
            <w:tcW w:w="1915" w:type="dxa"/>
            <w:shd w:val="clear" w:color="auto" w:fill="FEFBE7"/>
          </w:tcPr>
          <w:p w:rsidR="00BA4121" w:rsidRDefault="00255786">
            <w:pPr>
              <w:keepNext/>
              <w:jc w:val="center"/>
            </w:pPr>
            <w:r>
              <w:t>5%</w:t>
            </w:r>
          </w:p>
        </w:tc>
      </w:tr>
      <w:tr w:rsidR="00BA4121">
        <w:tc>
          <w:tcPr>
            <w:tcW w:w="1915" w:type="dxa"/>
            <w:tcBorders>
              <w:top w:val="single" w:sz="4" w:space="0" w:color="969696"/>
            </w:tcBorders>
            <w:shd w:val="clear" w:color="auto" w:fill="FEFBE7"/>
          </w:tcPr>
          <w:p w:rsidR="00BA4121" w:rsidRDefault="00BA4121">
            <w:pPr>
              <w:keepNext/>
              <w:jc w:val="center"/>
            </w:pPr>
          </w:p>
        </w:tc>
        <w:tc>
          <w:tcPr>
            <w:tcW w:w="1915" w:type="dxa"/>
            <w:tcBorders>
              <w:top w:val="single" w:sz="4" w:space="0" w:color="969696"/>
            </w:tcBorders>
            <w:shd w:val="clear" w:color="auto" w:fill="FEFBE7"/>
          </w:tcPr>
          <w:p w:rsidR="00BA4121" w:rsidRDefault="00255786">
            <w:pPr>
              <w:keepNext/>
            </w:pPr>
            <w:r>
              <w:t>Total</w:t>
            </w:r>
          </w:p>
        </w:tc>
        <w:tc>
          <w:tcPr>
            <w:tcW w:w="3588" w:type="dxa"/>
            <w:tcBorders>
              <w:top w:val="single" w:sz="4" w:space="0" w:color="969696"/>
            </w:tcBorders>
            <w:shd w:val="clear" w:color="auto" w:fill="FEFBE7"/>
            <w:noWrap/>
            <w:tcMar>
              <w:left w:w="0" w:type="dxa"/>
              <w:right w:w="0" w:type="dxa"/>
            </w:tcMar>
          </w:tcPr>
          <w:p w:rsidR="00BA4121" w:rsidRDefault="00BA4121">
            <w:pPr>
              <w:pStyle w:val="WhiteText"/>
              <w:keepNext/>
            </w:pPr>
          </w:p>
        </w:tc>
        <w:tc>
          <w:tcPr>
            <w:tcW w:w="1915" w:type="dxa"/>
            <w:tcBorders>
              <w:top w:val="single" w:sz="4" w:space="0" w:color="969696"/>
            </w:tcBorders>
            <w:shd w:val="clear" w:color="auto" w:fill="FEFBE7"/>
          </w:tcPr>
          <w:p w:rsidR="00BA4121" w:rsidRDefault="00255786">
            <w:pPr>
              <w:keepNext/>
              <w:jc w:val="center"/>
            </w:pPr>
            <w:r>
              <w:t>22</w:t>
            </w:r>
          </w:p>
        </w:tc>
        <w:tc>
          <w:tcPr>
            <w:tcW w:w="1915" w:type="dxa"/>
            <w:tcBorders>
              <w:top w:val="single" w:sz="4" w:space="0" w:color="969696"/>
            </w:tcBorders>
            <w:shd w:val="clear" w:color="auto" w:fill="FEFBE7"/>
          </w:tcPr>
          <w:p w:rsidR="00BA4121" w:rsidRDefault="00255786">
            <w:pPr>
              <w:keepNext/>
              <w:jc w:val="center"/>
            </w:pPr>
            <w:r>
              <w:t>100%</w:t>
            </w:r>
          </w:p>
        </w:tc>
      </w:tr>
    </w:tbl>
    <w:p w:rsidR="00BA4121" w:rsidRDefault="00BA4121"/>
    <w:tbl>
      <w:tblPr>
        <w:tblStyle w:val="QTable"/>
        <w:tblW w:w="9576" w:type="auto"/>
        <w:tblLook w:val="04A0" w:firstRow="1" w:lastRow="0" w:firstColumn="1" w:lastColumn="0" w:noHBand="0" w:noVBand="1"/>
      </w:tblPr>
      <w:tblGrid>
        <w:gridCol w:w="4788"/>
        <w:gridCol w:w="4788"/>
      </w:tblGrid>
      <w:tr w:rsidR="00BA4121">
        <w:tc>
          <w:tcPr>
            <w:tcW w:w="4788" w:type="dxa"/>
            <w:shd w:val="clear" w:color="auto" w:fill="58595B"/>
          </w:tcPr>
          <w:p w:rsidR="00BA4121" w:rsidRDefault="00255786">
            <w:pPr>
              <w:pStyle w:val="WhiteText"/>
              <w:keepNext/>
            </w:pPr>
            <w:r>
              <w:t>We would consider an alternate loan period. Specify</w:t>
            </w:r>
          </w:p>
        </w:tc>
        <w:tc>
          <w:tcPr>
            <w:tcW w:w="4788" w:type="dxa"/>
            <w:shd w:val="clear" w:color="auto" w:fill="58595B"/>
          </w:tcPr>
          <w:p w:rsidR="00BA4121" w:rsidRDefault="00255786">
            <w:pPr>
              <w:pStyle w:val="WhiteText"/>
              <w:keepNext/>
            </w:pPr>
            <w:r>
              <w:t xml:space="preserve">We prefer our current loan period. Specify current loan </w:t>
            </w:r>
            <w:r>
              <w:t>period</w:t>
            </w:r>
          </w:p>
        </w:tc>
      </w:tr>
      <w:tr w:rsidR="00BA4121">
        <w:tc>
          <w:tcPr>
            <w:tcW w:w="4788" w:type="dxa"/>
            <w:shd w:val="clear" w:color="auto" w:fill="FEFBE7"/>
          </w:tcPr>
          <w:p w:rsidR="00BA4121" w:rsidRDefault="00255786">
            <w:pPr>
              <w:keepNext/>
            </w:pPr>
            <w:r>
              <w:t>45</w:t>
            </w:r>
          </w:p>
        </w:tc>
        <w:tc>
          <w:tcPr>
            <w:tcW w:w="4788" w:type="dxa"/>
            <w:shd w:val="clear" w:color="auto" w:fill="FEFBE7"/>
          </w:tcPr>
          <w:p w:rsidR="00BA4121" w:rsidRDefault="00255786">
            <w:pPr>
              <w:keepNext/>
            </w:pPr>
            <w:r>
              <w:t>28 days;</w:t>
            </w:r>
          </w:p>
        </w:tc>
      </w:tr>
      <w:tr w:rsidR="00BA4121">
        <w:tc>
          <w:tcPr>
            <w:tcW w:w="4788" w:type="dxa"/>
          </w:tcPr>
          <w:p w:rsidR="00BA4121" w:rsidRDefault="00255786">
            <w:pPr>
              <w:keepNext/>
            </w:pPr>
            <w:r>
              <w:t>45 days</w:t>
            </w:r>
          </w:p>
        </w:tc>
        <w:tc>
          <w:tcPr>
            <w:tcW w:w="4788" w:type="dxa"/>
          </w:tcPr>
          <w:p w:rsidR="00BA4121" w:rsidRDefault="00BA4121">
            <w:pPr>
              <w:keepNext/>
            </w:pPr>
          </w:p>
        </w:tc>
      </w:tr>
      <w:tr w:rsidR="00BA4121">
        <w:tc>
          <w:tcPr>
            <w:tcW w:w="4788" w:type="dxa"/>
            <w:shd w:val="clear" w:color="auto" w:fill="FEFBE7"/>
          </w:tcPr>
          <w:p w:rsidR="00BA4121" w:rsidRDefault="00255786">
            <w:pPr>
              <w:keepNext/>
            </w:pPr>
            <w:r>
              <w:t>no longer than 30 days</w:t>
            </w:r>
          </w:p>
        </w:tc>
        <w:tc>
          <w:tcPr>
            <w:tcW w:w="4788" w:type="dxa"/>
            <w:shd w:val="clear" w:color="auto" w:fill="FEFBE7"/>
          </w:tcPr>
          <w:p w:rsidR="00BA4121" w:rsidRDefault="00BA4121">
            <w:pPr>
              <w:keepNext/>
            </w:pPr>
          </w:p>
        </w:tc>
      </w:tr>
      <w:tr w:rsidR="00BA4121">
        <w:tc>
          <w:tcPr>
            <w:tcW w:w="4788" w:type="dxa"/>
          </w:tcPr>
          <w:p w:rsidR="00BA4121" w:rsidRDefault="00255786">
            <w:pPr>
              <w:keepNext/>
            </w:pPr>
            <w:r>
              <w:t>see below</w:t>
            </w:r>
          </w:p>
        </w:tc>
        <w:tc>
          <w:tcPr>
            <w:tcW w:w="4788" w:type="dxa"/>
          </w:tcPr>
          <w:p w:rsidR="00BA4121" w:rsidRDefault="00BA4121">
            <w:pPr>
              <w:keepNext/>
            </w:pPr>
          </w:p>
        </w:tc>
      </w:tr>
      <w:tr w:rsidR="00BA4121">
        <w:tc>
          <w:tcPr>
            <w:tcW w:w="4788" w:type="dxa"/>
            <w:shd w:val="clear" w:color="auto" w:fill="FEFBE7"/>
          </w:tcPr>
          <w:p w:rsidR="00BA4121" w:rsidRDefault="00255786">
            <w:pPr>
              <w:keepNext/>
            </w:pPr>
            <w:r>
              <w:t>45 days.  A happy medium.</w:t>
            </w:r>
          </w:p>
        </w:tc>
        <w:tc>
          <w:tcPr>
            <w:tcW w:w="4788" w:type="dxa"/>
            <w:shd w:val="clear" w:color="auto" w:fill="FEFBE7"/>
          </w:tcPr>
          <w:p w:rsidR="00BA4121" w:rsidRDefault="00BA4121">
            <w:pPr>
              <w:keepNext/>
            </w:pPr>
          </w:p>
        </w:tc>
      </w:tr>
      <w:tr w:rsidR="00BA4121">
        <w:tc>
          <w:tcPr>
            <w:tcW w:w="4788" w:type="dxa"/>
          </w:tcPr>
          <w:p w:rsidR="00BA4121" w:rsidRDefault="00255786">
            <w:pPr>
              <w:keepNext/>
            </w:pPr>
            <w:r>
              <w:t>42 days</w:t>
            </w:r>
          </w:p>
        </w:tc>
        <w:tc>
          <w:tcPr>
            <w:tcW w:w="4788" w:type="dxa"/>
          </w:tcPr>
          <w:p w:rsidR="00BA4121" w:rsidRDefault="00BA4121">
            <w:pPr>
              <w:keepNext/>
            </w:pPr>
          </w:p>
        </w:tc>
      </w:tr>
      <w:tr w:rsidR="00BA4121">
        <w:tc>
          <w:tcPr>
            <w:tcW w:w="4788" w:type="dxa"/>
            <w:shd w:val="clear" w:color="auto" w:fill="FEFBE7"/>
          </w:tcPr>
          <w:p w:rsidR="00BA4121" w:rsidRDefault="00255786">
            <w:pPr>
              <w:keepNext/>
            </w:pPr>
            <w:r>
              <w:t>30 days</w:t>
            </w:r>
          </w:p>
        </w:tc>
        <w:tc>
          <w:tcPr>
            <w:tcW w:w="4788" w:type="dxa"/>
            <w:shd w:val="clear" w:color="auto" w:fill="FEFBE7"/>
          </w:tcPr>
          <w:p w:rsidR="00BA4121" w:rsidRDefault="00BA4121">
            <w:pPr>
              <w:keepNext/>
            </w:pPr>
          </w:p>
        </w:tc>
      </w:tr>
      <w:tr w:rsidR="00BA4121">
        <w:tc>
          <w:tcPr>
            <w:tcW w:w="4788" w:type="dxa"/>
          </w:tcPr>
          <w:p w:rsidR="00BA4121" w:rsidRDefault="00255786">
            <w:pPr>
              <w:keepNext/>
            </w:pPr>
            <w:r>
              <w:t>45</w:t>
            </w:r>
          </w:p>
        </w:tc>
        <w:tc>
          <w:tcPr>
            <w:tcW w:w="4788" w:type="dxa"/>
          </w:tcPr>
          <w:p w:rsidR="00BA4121" w:rsidRDefault="00BA4121">
            <w:pPr>
              <w:keepNext/>
            </w:pPr>
          </w:p>
        </w:tc>
      </w:tr>
    </w:tbl>
    <w:p w:rsidR="00BA4121" w:rsidRDefault="00BA4121"/>
    <w:tbl>
      <w:tblPr>
        <w:tblStyle w:val="QTable"/>
        <w:tblW w:w="9576" w:type="auto"/>
        <w:tblLook w:val="04A0" w:firstRow="1" w:lastRow="0" w:firstColumn="1" w:lastColumn="0" w:noHBand="0" w:noVBand="1"/>
      </w:tblPr>
      <w:tblGrid>
        <w:gridCol w:w="4788"/>
        <w:gridCol w:w="4788"/>
      </w:tblGrid>
      <w:tr w:rsidR="00BA4121">
        <w:tc>
          <w:tcPr>
            <w:tcW w:w="4788" w:type="dxa"/>
            <w:shd w:val="clear" w:color="auto" w:fill="58595B"/>
          </w:tcPr>
          <w:p w:rsidR="00BA4121" w:rsidRDefault="00255786">
            <w:pPr>
              <w:pStyle w:val="WhiteText"/>
              <w:keepNext/>
            </w:pPr>
            <w:r>
              <w:t>Statistic</w:t>
            </w:r>
          </w:p>
        </w:tc>
        <w:tc>
          <w:tcPr>
            <w:tcW w:w="4788" w:type="dxa"/>
            <w:shd w:val="clear" w:color="auto" w:fill="58595B"/>
          </w:tcPr>
          <w:p w:rsidR="00BA4121" w:rsidRDefault="00255786">
            <w:pPr>
              <w:pStyle w:val="WhiteText"/>
              <w:keepNext/>
              <w:jc w:val="right"/>
            </w:pPr>
            <w:r>
              <w:t>Value</w:t>
            </w:r>
          </w:p>
        </w:tc>
      </w:tr>
      <w:tr w:rsidR="00BA4121">
        <w:tc>
          <w:tcPr>
            <w:tcW w:w="4788" w:type="dxa"/>
            <w:shd w:val="clear" w:color="auto" w:fill="FEFBE7"/>
          </w:tcPr>
          <w:p w:rsidR="00BA4121" w:rsidRDefault="00255786">
            <w:pPr>
              <w:keepNext/>
            </w:pPr>
            <w:r>
              <w:t>Min Value</w:t>
            </w:r>
          </w:p>
        </w:tc>
        <w:tc>
          <w:tcPr>
            <w:tcW w:w="4788" w:type="dxa"/>
            <w:shd w:val="clear" w:color="auto" w:fill="FEFBE7"/>
          </w:tcPr>
          <w:p w:rsidR="00BA4121" w:rsidRDefault="00255786">
            <w:pPr>
              <w:keepNext/>
              <w:jc w:val="right"/>
            </w:pPr>
            <w:r>
              <w:t>1</w:t>
            </w:r>
          </w:p>
        </w:tc>
      </w:tr>
      <w:tr w:rsidR="00BA4121">
        <w:tc>
          <w:tcPr>
            <w:tcW w:w="4788" w:type="dxa"/>
          </w:tcPr>
          <w:p w:rsidR="00BA4121" w:rsidRDefault="00255786">
            <w:pPr>
              <w:keepNext/>
            </w:pPr>
            <w:r>
              <w:t>Max Value</w:t>
            </w:r>
          </w:p>
        </w:tc>
        <w:tc>
          <w:tcPr>
            <w:tcW w:w="4788" w:type="dxa"/>
          </w:tcPr>
          <w:p w:rsidR="00BA4121" w:rsidRDefault="00255786">
            <w:pPr>
              <w:keepNext/>
              <w:jc w:val="right"/>
            </w:pPr>
            <w:r>
              <w:t>3</w:t>
            </w:r>
          </w:p>
        </w:tc>
      </w:tr>
      <w:tr w:rsidR="00BA4121">
        <w:tc>
          <w:tcPr>
            <w:tcW w:w="4788" w:type="dxa"/>
            <w:shd w:val="clear" w:color="auto" w:fill="FEFBE7"/>
          </w:tcPr>
          <w:p w:rsidR="00BA4121" w:rsidRDefault="00255786">
            <w:pPr>
              <w:keepNext/>
            </w:pPr>
            <w:r>
              <w:t>Mean</w:t>
            </w:r>
          </w:p>
        </w:tc>
        <w:tc>
          <w:tcPr>
            <w:tcW w:w="4788" w:type="dxa"/>
            <w:shd w:val="clear" w:color="auto" w:fill="FEFBE7"/>
          </w:tcPr>
          <w:p w:rsidR="00BA4121" w:rsidRDefault="00255786">
            <w:pPr>
              <w:keepNext/>
              <w:jc w:val="right"/>
            </w:pPr>
            <w:r>
              <w:t>1.50</w:t>
            </w:r>
          </w:p>
        </w:tc>
      </w:tr>
      <w:tr w:rsidR="00BA4121">
        <w:tc>
          <w:tcPr>
            <w:tcW w:w="4788" w:type="dxa"/>
          </w:tcPr>
          <w:p w:rsidR="00BA4121" w:rsidRDefault="00255786">
            <w:pPr>
              <w:keepNext/>
            </w:pPr>
            <w:r>
              <w:t>Variance</w:t>
            </w:r>
          </w:p>
        </w:tc>
        <w:tc>
          <w:tcPr>
            <w:tcW w:w="4788" w:type="dxa"/>
          </w:tcPr>
          <w:p w:rsidR="00BA4121" w:rsidRDefault="00255786">
            <w:pPr>
              <w:keepNext/>
              <w:jc w:val="right"/>
            </w:pPr>
            <w:r>
              <w:t>0.36</w:t>
            </w:r>
          </w:p>
        </w:tc>
      </w:tr>
      <w:tr w:rsidR="00BA4121">
        <w:tc>
          <w:tcPr>
            <w:tcW w:w="4788" w:type="dxa"/>
            <w:shd w:val="clear" w:color="auto" w:fill="FEFBE7"/>
          </w:tcPr>
          <w:p w:rsidR="00BA4121" w:rsidRDefault="00255786">
            <w:pPr>
              <w:keepNext/>
            </w:pPr>
            <w:r>
              <w:t>Standard Deviation</w:t>
            </w:r>
          </w:p>
        </w:tc>
        <w:tc>
          <w:tcPr>
            <w:tcW w:w="4788" w:type="dxa"/>
            <w:shd w:val="clear" w:color="auto" w:fill="FEFBE7"/>
          </w:tcPr>
          <w:p w:rsidR="00BA4121" w:rsidRDefault="00255786">
            <w:pPr>
              <w:keepNext/>
              <w:jc w:val="right"/>
            </w:pPr>
            <w:r>
              <w:t>0.60</w:t>
            </w:r>
          </w:p>
        </w:tc>
      </w:tr>
      <w:tr w:rsidR="00BA4121">
        <w:tc>
          <w:tcPr>
            <w:tcW w:w="4788" w:type="dxa"/>
          </w:tcPr>
          <w:p w:rsidR="00BA4121" w:rsidRDefault="00255786">
            <w:pPr>
              <w:keepNext/>
            </w:pPr>
            <w:r>
              <w:t>Total Responses</w:t>
            </w:r>
          </w:p>
        </w:tc>
        <w:tc>
          <w:tcPr>
            <w:tcW w:w="4788" w:type="dxa"/>
          </w:tcPr>
          <w:p w:rsidR="00BA4121" w:rsidRDefault="00255786">
            <w:pPr>
              <w:keepNext/>
              <w:jc w:val="right"/>
            </w:pPr>
            <w:r>
              <w:t>22</w:t>
            </w:r>
          </w:p>
        </w:tc>
      </w:tr>
    </w:tbl>
    <w:p w:rsidR="00BA4121" w:rsidRDefault="00BA4121"/>
    <w:p w:rsidR="00BA4121" w:rsidRDefault="00255786">
      <w:pPr>
        <w:pStyle w:val="QLabel"/>
        <w:keepNext/>
      </w:pPr>
      <w:r>
        <w:lastRenderedPageBreak/>
        <w:t xml:space="preserve">2.  </w:t>
      </w:r>
      <w:r>
        <w:t>1b.    Comments?</w:t>
      </w:r>
    </w:p>
    <w:tbl>
      <w:tblPr>
        <w:tblStyle w:val="QTable"/>
        <w:tblW w:w="9576" w:type="auto"/>
        <w:tblLook w:val="04A0" w:firstRow="1" w:lastRow="0" w:firstColumn="1" w:lastColumn="0" w:noHBand="0" w:noVBand="1"/>
      </w:tblPr>
      <w:tblGrid>
        <w:gridCol w:w="9576"/>
      </w:tblGrid>
      <w:tr w:rsidR="00BA4121">
        <w:tc>
          <w:tcPr>
            <w:tcW w:w="9576" w:type="dxa"/>
            <w:shd w:val="clear" w:color="auto" w:fill="58595B"/>
          </w:tcPr>
          <w:p w:rsidR="00BA4121" w:rsidRDefault="00255786">
            <w:pPr>
              <w:pStyle w:val="WhiteText"/>
              <w:keepNext/>
            </w:pPr>
            <w:r>
              <w:t>Text Response</w:t>
            </w:r>
          </w:p>
        </w:tc>
      </w:tr>
      <w:tr w:rsidR="00BA4121">
        <w:tc>
          <w:tcPr>
            <w:tcW w:w="9576" w:type="dxa"/>
            <w:shd w:val="clear" w:color="auto" w:fill="FEFBE7"/>
          </w:tcPr>
          <w:p w:rsidR="00BA4121" w:rsidRDefault="00255786">
            <w:pPr>
              <w:keepNext/>
            </w:pPr>
            <w:r>
              <w:t>We have been giving a 60 day loan on our ILLiad items.  I have been talking to our Librarians about extending the same loan on our Aleph ILL items as well.</w:t>
            </w:r>
          </w:p>
        </w:tc>
      </w:tr>
      <w:tr w:rsidR="00BA4121">
        <w:tc>
          <w:tcPr>
            <w:tcW w:w="9576" w:type="dxa"/>
          </w:tcPr>
          <w:p w:rsidR="00BA4121" w:rsidRDefault="00255786">
            <w:pPr>
              <w:keepNext/>
            </w:pPr>
            <w:r>
              <w:t>Our items usually don't get requested while on loan. It would be wo</w:t>
            </w:r>
            <w:r>
              <w:t>rthwhile to see if it makes a significant increase in ILL requests.</w:t>
            </w:r>
          </w:p>
        </w:tc>
      </w:tr>
      <w:tr w:rsidR="00BA4121">
        <w:tc>
          <w:tcPr>
            <w:tcW w:w="9576" w:type="dxa"/>
            <w:shd w:val="clear" w:color="auto" w:fill="FEFBE7"/>
          </w:tcPr>
          <w:p w:rsidR="00BA4121" w:rsidRDefault="00255786">
            <w:pPr>
              <w:keepNext/>
            </w:pPr>
            <w:r>
              <w:t>Our students are allowed items for 21 days. Our collection is small and in many areas there are only a few books on a given subject. Our students need the opportunity to have items return</w:t>
            </w:r>
            <w:r>
              <w:t>ed -- and we wouldn't have the ability to "recall" an item that was on ILL for an extended period of time.</w:t>
            </w:r>
          </w:p>
        </w:tc>
      </w:tr>
      <w:tr w:rsidR="00BA4121">
        <w:tc>
          <w:tcPr>
            <w:tcW w:w="9576" w:type="dxa"/>
          </w:tcPr>
          <w:p w:rsidR="00BA4121" w:rsidRDefault="00255786">
            <w:pPr>
              <w:keepNext/>
            </w:pPr>
            <w:r>
              <w:t>Keep the official loan period for materials to 28 days but the campus ILL coordinator may increase the date at their discretion.</w:t>
            </w:r>
          </w:p>
        </w:tc>
      </w:tr>
      <w:tr w:rsidR="00BA4121">
        <w:tc>
          <w:tcPr>
            <w:tcW w:w="9576" w:type="dxa"/>
            <w:shd w:val="clear" w:color="auto" w:fill="FEFBE7"/>
          </w:tcPr>
          <w:p w:rsidR="00BA4121" w:rsidRDefault="00255786">
            <w:pPr>
              <w:keepNext/>
            </w:pPr>
            <w:r>
              <w:t>This improves enha</w:t>
            </w:r>
            <w:r>
              <w:t>nced patron access to materials in the event shipping is delayed.</w:t>
            </w:r>
          </w:p>
        </w:tc>
      </w:tr>
      <w:tr w:rsidR="00BA4121">
        <w:tc>
          <w:tcPr>
            <w:tcW w:w="9576" w:type="dxa"/>
          </w:tcPr>
          <w:p w:rsidR="00BA4121" w:rsidRDefault="00255786">
            <w:pPr>
              <w:keepNext/>
            </w:pPr>
            <w:r>
              <w:t>I distributed the survey to allow for multiple people to provide input.  One campus voted to consider the 60 day loan period, one wanted the current loan period, and one suggested an altern</w:t>
            </w:r>
            <w:r>
              <w:t>ate of 30 days and indicated that this would keep the borrower from having the item for the entire semester, which would not allow others access.</w:t>
            </w:r>
          </w:p>
        </w:tc>
      </w:tr>
      <w:tr w:rsidR="00BA4121">
        <w:tc>
          <w:tcPr>
            <w:tcW w:w="9576" w:type="dxa"/>
            <w:shd w:val="clear" w:color="auto" w:fill="FEFBE7"/>
          </w:tcPr>
          <w:p w:rsidR="00BA4121" w:rsidRDefault="00255786">
            <w:pPr>
              <w:keepNext/>
            </w:pPr>
            <w:proofErr w:type="gramStart"/>
            <w:r>
              <w:t>a</w:t>
            </w:r>
            <w:proofErr w:type="gramEnd"/>
            <w:r>
              <w:t xml:space="preserve"> thirty day check out plus an automated thirty day renewal (as long as no hold/requests for item).</w:t>
            </w:r>
          </w:p>
        </w:tc>
      </w:tr>
      <w:tr w:rsidR="00BA4121">
        <w:tc>
          <w:tcPr>
            <w:tcW w:w="9576" w:type="dxa"/>
          </w:tcPr>
          <w:p w:rsidR="00BA4121" w:rsidRDefault="00BA4121">
            <w:pPr>
              <w:keepNext/>
            </w:pPr>
          </w:p>
        </w:tc>
      </w:tr>
      <w:tr w:rsidR="00BA4121">
        <w:tc>
          <w:tcPr>
            <w:tcW w:w="9576" w:type="dxa"/>
            <w:shd w:val="clear" w:color="auto" w:fill="FEFBE7"/>
          </w:tcPr>
          <w:p w:rsidR="00BA4121" w:rsidRDefault="00255786">
            <w:pPr>
              <w:keepNext/>
            </w:pPr>
            <w:r>
              <w:t>Current loan period is 21 days</w:t>
            </w:r>
          </w:p>
        </w:tc>
      </w:tr>
      <w:tr w:rsidR="00BA4121">
        <w:tc>
          <w:tcPr>
            <w:tcW w:w="9576" w:type="dxa"/>
          </w:tcPr>
          <w:p w:rsidR="00BA4121" w:rsidRDefault="00255786">
            <w:pPr>
              <w:keepNext/>
            </w:pPr>
            <w:r>
              <w:t xml:space="preserve">8 weeks is 56 days, but generally </w:t>
            </w:r>
            <w:proofErr w:type="spellStart"/>
            <w:r>
              <w:t>trackable</w:t>
            </w:r>
            <w:proofErr w:type="spellEnd"/>
            <w:r>
              <w:t xml:space="preserve"> from a Mon-Fri start date when services are open.</w:t>
            </w:r>
          </w:p>
        </w:tc>
      </w:tr>
    </w:tbl>
    <w:p w:rsidR="00BA4121" w:rsidRDefault="00BA4121"/>
    <w:tbl>
      <w:tblPr>
        <w:tblStyle w:val="QTable"/>
        <w:tblW w:w="9576" w:type="auto"/>
        <w:tblLook w:val="04A0" w:firstRow="1" w:lastRow="0" w:firstColumn="1" w:lastColumn="0" w:noHBand="0" w:noVBand="1"/>
      </w:tblPr>
      <w:tblGrid>
        <w:gridCol w:w="4788"/>
        <w:gridCol w:w="4788"/>
      </w:tblGrid>
      <w:tr w:rsidR="00BA4121">
        <w:tc>
          <w:tcPr>
            <w:tcW w:w="4788" w:type="dxa"/>
            <w:shd w:val="clear" w:color="auto" w:fill="58595B"/>
          </w:tcPr>
          <w:p w:rsidR="00BA4121" w:rsidRDefault="00255786">
            <w:pPr>
              <w:pStyle w:val="WhiteText"/>
              <w:keepNext/>
            </w:pPr>
            <w:r>
              <w:t>Statistic</w:t>
            </w:r>
          </w:p>
        </w:tc>
        <w:tc>
          <w:tcPr>
            <w:tcW w:w="4788" w:type="dxa"/>
            <w:shd w:val="clear" w:color="auto" w:fill="58595B"/>
          </w:tcPr>
          <w:p w:rsidR="00BA4121" w:rsidRDefault="00255786">
            <w:pPr>
              <w:pStyle w:val="WhiteText"/>
              <w:keepNext/>
              <w:jc w:val="right"/>
            </w:pPr>
            <w:r>
              <w:t>Value</w:t>
            </w:r>
          </w:p>
        </w:tc>
      </w:tr>
      <w:tr w:rsidR="00BA4121">
        <w:tc>
          <w:tcPr>
            <w:tcW w:w="4788" w:type="dxa"/>
            <w:shd w:val="clear" w:color="auto" w:fill="FEFBE7"/>
          </w:tcPr>
          <w:p w:rsidR="00BA4121" w:rsidRDefault="00255786">
            <w:pPr>
              <w:keepNext/>
            </w:pPr>
            <w:r>
              <w:t>Total Responses</w:t>
            </w:r>
          </w:p>
        </w:tc>
        <w:tc>
          <w:tcPr>
            <w:tcW w:w="4788" w:type="dxa"/>
            <w:shd w:val="clear" w:color="auto" w:fill="FEFBE7"/>
          </w:tcPr>
          <w:p w:rsidR="00BA4121" w:rsidRDefault="00255786">
            <w:pPr>
              <w:keepNext/>
              <w:jc w:val="right"/>
            </w:pPr>
            <w:r>
              <w:t>10</w:t>
            </w:r>
          </w:p>
        </w:tc>
      </w:tr>
    </w:tbl>
    <w:p w:rsidR="00BA4121" w:rsidRDefault="00BA4121"/>
    <w:p w:rsidR="00BA4121" w:rsidRDefault="00255786">
      <w:pPr>
        <w:pStyle w:val="QLabel"/>
        <w:keepNext/>
      </w:pPr>
      <w:r>
        <w:lastRenderedPageBreak/>
        <w:t>3.  2a.    Would your institution agree to automated renewals for Aleph ILL items?</w:t>
      </w:r>
    </w:p>
    <w:tbl>
      <w:tblPr>
        <w:tblStyle w:val="QTable"/>
        <w:tblW w:w="9576" w:type="auto"/>
        <w:tblLook w:val="04E0" w:firstRow="1" w:lastRow="1" w:firstColumn="1" w:lastColumn="0" w:noHBand="0" w:noVBand="1"/>
      </w:tblPr>
      <w:tblGrid>
        <w:gridCol w:w="1229"/>
        <w:gridCol w:w="1739"/>
        <w:gridCol w:w="3588"/>
        <w:gridCol w:w="1611"/>
        <w:gridCol w:w="1423"/>
      </w:tblGrid>
      <w:tr w:rsidR="00BA4121">
        <w:tc>
          <w:tcPr>
            <w:tcW w:w="1915" w:type="dxa"/>
            <w:shd w:val="clear" w:color="auto" w:fill="58595B"/>
          </w:tcPr>
          <w:p w:rsidR="00BA4121" w:rsidRDefault="00255786">
            <w:pPr>
              <w:pStyle w:val="WhiteText"/>
              <w:keepNext/>
              <w:jc w:val="center"/>
            </w:pPr>
            <w:r>
              <w:t>#</w:t>
            </w:r>
          </w:p>
        </w:tc>
        <w:tc>
          <w:tcPr>
            <w:tcW w:w="1915" w:type="dxa"/>
            <w:shd w:val="clear" w:color="auto" w:fill="58595B"/>
          </w:tcPr>
          <w:p w:rsidR="00BA4121" w:rsidRDefault="00255786">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BA4121" w:rsidTr="00BA4121">
              <w:tc>
                <w:tcPr>
                  <w:cnfStyle w:val="001000000000" w:firstRow="0" w:lastRow="0" w:firstColumn="1" w:lastColumn="0" w:oddVBand="0" w:evenVBand="0" w:oddHBand="0" w:evenHBand="0" w:firstRowFirstColumn="0" w:firstRowLastColumn="0" w:lastRowFirstColumn="0" w:lastRowLastColumn="0"/>
                  <w:tcW w:w="0" w:type="dxa"/>
                </w:tcPr>
                <w:p w:rsidR="00BA4121" w:rsidRDefault="00BA4121">
                  <w:pPr>
                    <w:pStyle w:val="WhiteText"/>
                    <w:rPr>
                      <w:szCs w:val="14"/>
                    </w:rPr>
                  </w:pPr>
                </w:p>
              </w:tc>
              <w:tc>
                <w:tcPr>
                  <w:tcW w:w="3578" w:type="dxa"/>
                </w:tcPr>
                <w:p w:rsidR="00BA4121" w:rsidRDefault="00BA4121">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A4121" w:rsidRDefault="00BA4121"/>
        </w:tc>
        <w:tc>
          <w:tcPr>
            <w:tcW w:w="1915" w:type="dxa"/>
            <w:shd w:val="clear" w:color="auto" w:fill="58595B"/>
          </w:tcPr>
          <w:p w:rsidR="00BA4121" w:rsidRDefault="00255786">
            <w:pPr>
              <w:pStyle w:val="WhiteText"/>
              <w:keepNext/>
              <w:jc w:val="center"/>
            </w:pPr>
            <w:r>
              <w:t>Response</w:t>
            </w:r>
          </w:p>
        </w:tc>
        <w:tc>
          <w:tcPr>
            <w:tcW w:w="1915" w:type="dxa"/>
            <w:shd w:val="clear" w:color="auto" w:fill="58595B"/>
          </w:tcPr>
          <w:p w:rsidR="00BA4121" w:rsidRDefault="00255786">
            <w:pPr>
              <w:pStyle w:val="WhiteText"/>
              <w:keepNext/>
              <w:jc w:val="center"/>
            </w:pPr>
            <w:r>
              <w:t>%</w:t>
            </w:r>
          </w:p>
        </w:tc>
      </w:tr>
      <w:tr w:rsidR="00BA4121">
        <w:tc>
          <w:tcPr>
            <w:tcW w:w="1915" w:type="dxa"/>
            <w:shd w:val="clear" w:color="auto" w:fill="FEFBE7"/>
          </w:tcPr>
          <w:p w:rsidR="00BA4121" w:rsidRDefault="00255786">
            <w:pPr>
              <w:keepNext/>
              <w:jc w:val="center"/>
            </w:pPr>
            <w:r>
              <w:t>1</w:t>
            </w:r>
          </w:p>
        </w:tc>
        <w:tc>
          <w:tcPr>
            <w:tcW w:w="1915" w:type="dxa"/>
            <w:shd w:val="clear" w:color="auto" w:fill="FEFBE7"/>
          </w:tcPr>
          <w:p w:rsidR="00BA4121" w:rsidRDefault="00255786">
            <w:pPr>
              <w:keepNext/>
            </w:pPr>
            <w:r>
              <w:t>Yes, we would agree to a 30 day automated renewal. Automated renewals will deny the renewal if a local hold request exists or the item status does not allow renewals.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440"/>
              <w:gridCol w:w="1138"/>
            </w:tblGrid>
            <w:tr w:rsidR="00BA4121" w:rsidTr="00BA4121">
              <w:tc>
                <w:tcPr>
                  <w:cnfStyle w:val="001000000000" w:firstRow="0" w:lastRow="0" w:firstColumn="1" w:lastColumn="0" w:oddVBand="0" w:evenVBand="0" w:oddHBand="0" w:evenHBand="0" w:firstRowFirstColumn="0" w:firstRowLastColumn="0" w:lastRowFirstColumn="0" w:lastRowLastColumn="0"/>
                  <w:tcW w:w="2440" w:type="dxa"/>
                </w:tcPr>
                <w:p w:rsidR="00BA4121" w:rsidRDefault="00BA4121">
                  <w:pPr>
                    <w:pStyle w:val="WhiteText"/>
                    <w:rPr>
                      <w:szCs w:val="14"/>
                    </w:rPr>
                  </w:pPr>
                </w:p>
              </w:tc>
              <w:tc>
                <w:tcPr>
                  <w:tcW w:w="1138" w:type="dxa"/>
                </w:tcPr>
                <w:p w:rsidR="00BA4121" w:rsidRDefault="00BA4121">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A4121" w:rsidRDefault="00BA4121"/>
        </w:tc>
        <w:tc>
          <w:tcPr>
            <w:tcW w:w="1915" w:type="dxa"/>
            <w:shd w:val="clear" w:color="auto" w:fill="FEFBE7"/>
          </w:tcPr>
          <w:p w:rsidR="00BA4121" w:rsidRDefault="00255786">
            <w:pPr>
              <w:keepNext/>
              <w:jc w:val="center"/>
            </w:pPr>
            <w:r>
              <w:t>15</w:t>
            </w:r>
          </w:p>
        </w:tc>
        <w:tc>
          <w:tcPr>
            <w:tcW w:w="1915" w:type="dxa"/>
            <w:shd w:val="clear" w:color="auto" w:fill="FEFBE7"/>
          </w:tcPr>
          <w:p w:rsidR="00BA4121" w:rsidRDefault="00255786">
            <w:pPr>
              <w:keepNext/>
              <w:jc w:val="center"/>
            </w:pPr>
            <w:r>
              <w:t>68%</w:t>
            </w:r>
          </w:p>
        </w:tc>
      </w:tr>
      <w:tr w:rsidR="00BA4121">
        <w:tc>
          <w:tcPr>
            <w:tcW w:w="1915" w:type="dxa"/>
          </w:tcPr>
          <w:p w:rsidR="00BA4121" w:rsidRDefault="00255786">
            <w:pPr>
              <w:keepNext/>
              <w:jc w:val="center"/>
            </w:pPr>
            <w:r>
              <w:t>2</w:t>
            </w:r>
          </w:p>
        </w:tc>
        <w:tc>
          <w:tcPr>
            <w:tcW w:w="1915" w:type="dxa"/>
          </w:tcPr>
          <w:p w:rsidR="00BA4121" w:rsidRDefault="00255786">
            <w:pPr>
              <w:keepNext/>
            </w:pPr>
            <w:r>
              <w:t xml:space="preserve">Yes, we are interested in automated renewals, but </w:t>
            </w:r>
            <w:r>
              <w:t>for an alternate time period. Specify:</w:t>
            </w:r>
          </w:p>
        </w:tc>
        <w:tc>
          <w:tcPr>
            <w:tcW w:w="3588" w:type="dxa"/>
            <w:noWrap/>
            <w:tcMar>
              <w:left w:w="0" w:type="dxa"/>
              <w:right w:w="0" w:type="dxa"/>
            </w:tcMar>
          </w:tcPr>
          <w:tbl>
            <w:tblPr>
              <w:tblStyle w:val="QBar"/>
              <w:tblW w:w="3578" w:type="auto"/>
              <w:tblLook w:val="04A0" w:firstRow="1" w:lastRow="0" w:firstColumn="1" w:lastColumn="0" w:noHBand="0" w:noVBand="1"/>
            </w:tblPr>
            <w:tblGrid>
              <w:gridCol w:w="488"/>
              <w:gridCol w:w="3090"/>
            </w:tblGrid>
            <w:tr w:rsidR="00BA4121" w:rsidTr="00BA4121">
              <w:tc>
                <w:tcPr>
                  <w:cnfStyle w:val="001000000000" w:firstRow="0" w:lastRow="0" w:firstColumn="1" w:lastColumn="0" w:oddVBand="0" w:evenVBand="0" w:oddHBand="0" w:evenHBand="0" w:firstRowFirstColumn="0" w:firstRowLastColumn="0" w:lastRowFirstColumn="0" w:lastRowLastColumn="0"/>
                  <w:tcW w:w="488" w:type="dxa"/>
                </w:tcPr>
                <w:p w:rsidR="00BA4121" w:rsidRDefault="00BA4121">
                  <w:pPr>
                    <w:pStyle w:val="WhiteText"/>
                    <w:rPr>
                      <w:szCs w:val="14"/>
                    </w:rPr>
                  </w:pPr>
                </w:p>
              </w:tc>
              <w:tc>
                <w:tcPr>
                  <w:tcW w:w="3090" w:type="dxa"/>
                </w:tcPr>
                <w:p w:rsidR="00BA4121" w:rsidRDefault="00BA4121">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A4121" w:rsidRDefault="00BA4121"/>
        </w:tc>
        <w:tc>
          <w:tcPr>
            <w:tcW w:w="1915" w:type="dxa"/>
          </w:tcPr>
          <w:p w:rsidR="00BA4121" w:rsidRDefault="00255786">
            <w:pPr>
              <w:keepNext/>
              <w:jc w:val="center"/>
            </w:pPr>
            <w:r>
              <w:t>3</w:t>
            </w:r>
          </w:p>
        </w:tc>
        <w:tc>
          <w:tcPr>
            <w:tcW w:w="1915" w:type="dxa"/>
          </w:tcPr>
          <w:p w:rsidR="00BA4121" w:rsidRDefault="00255786">
            <w:pPr>
              <w:keepNext/>
              <w:jc w:val="center"/>
            </w:pPr>
            <w:r>
              <w:t>14%</w:t>
            </w:r>
          </w:p>
        </w:tc>
      </w:tr>
      <w:tr w:rsidR="00BA4121">
        <w:tc>
          <w:tcPr>
            <w:tcW w:w="1915" w:type="dxa"/>
            <w:shd w:val="clear" w:color="auto" w:fill="FEFBE7"/>
          </w:tcPr>
          <w:p w:rsidR="00BA4121" w:rsidRDefault="00255786">
            <w:pPr>
              <w:keepNext/>
              <w:jc w:val="center"/>
            </w:pPr>
            <w:r>
              <w:t>3</w:t>
            </w:r>
          </w:p>
        </w:tc>
        <w:tc>
          <w:tcPr>
            <w:tcW w:w="1915" w:type="dxa"/>
            <w:shd w:val="clear" w:color="auto" w:fill="FEFBE7"/>
          </w:tcPr>
          <w:p w:rsidR="00BA4121" w:rsidRDefault="00255786">
            <w:pPr>
              <w:keepNext/>
            </w:pPr>
            <w:r>
              <w:t>No, we do not want our books automatically renewed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51"/>
              <w:gridCol w:w="2927"/>
            </w:tblGrid>
            <w:tr w:rsidR="00BA4121" w:rsidTr="00BA4121">
              <w:tc>
                <w:tcPr>
                  <w:cnfStyle w:val="001000000000" w:firstRow="0" w:lastRow="0" w:firstColumn="1" w:lastColumn="0" w:oddVBand="0" w:evenVBand="0" w:oddHBand="0" w:evenHBand="0" w:firstRowFirstColumn="0" w:firstRowLastColumn="0" w:lastRowFirstColumn="0" w:lastRowLastColumn="0"/>
                  <w:tcW w:w="651" w:type="dxa"/>
                </w:tcPr>
                <w:p w:rsidR="00BA4121" w:rsidRDefault="00BA4121">
                  <w:pPr>
                    <w:pStyle w:val="WhiteText"/>
                    <w:rPr>
                      <w:szCs w:val="14"/>
                    </w:rPr>
                  </w:pPr>
                </w:p>
              </w:tc>
              <w:tc>
                <w:tcPr>
                  <w:tcW w:w="2927" w:type="dxa"/>
                </w:tcPr>
                <w:p w:rsidR="00BA4121" w:rsidRDefault="00BA4121">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A4121" w:rsidRDefault="00BA4121"/>
        </w:tc>
        <w:tc>
          <w:tcPr>
            <w:tcW w:w="1915" w:type="dxa"/>
            <w:shd w:val="clear" w:color="auto" w:fill="FEFBE7"/>
          </w:tcPr>
          <w:p w:rsidR="00BA4121" w:rsidRDefault="00255786">
            <w:pPr>
              <w:keepNext/>
              <w:jc w:val="center"/>
            </w:pPr>
            <w:r>
              <w:t>4</w:t>
            </w:r>
          </w:p>
        </w:tc>
        <w:tc>
          <w:tcPr>
            <w:tcW w:w="1915" w:type="dxa"/>
            <w:shd w:val="clear" w:color="auto" w:fill="FEFBE7"/>
          </w:tcPr>
          <w:p w:rsidR="00BA4121" w:rsidRDefault="00255786">
            <w:pPr>
              <w:keepNext/>
              <w:jc w:val="center"/>
            </w:pPr>
            <w:r>
              <w:t>18%</w:t>
            </w:r>
          </w:p>
        </w:tc>
      </w:tr>
      <w:tr w:rsidR="00BA4121">
        <w:tc>
          <w:tcPr>
            <w:tcW w:w="1915" w:type="dxa"/>
            <w:tcBorders>
              <w:top w:val="single" w:sz="4" w:space="0" w:color="969696"/>
            </w:tcBorders>
            <w:shd w:val="clear" w:color="auto" w:fill="FEFBE7"/>
          </w:tcPr>
          <w:p w:rsidR="00BA4121" w:rsidRDefault="00BA4121">
            <w:pPr>
              <w:keepNext/>
              <w:jc w:val="center"/>
            </w:pPr>
          </w:p>
        </w:tc>
        <w:tc>
          <w:tcPr>
            <w:tcW w:w="1915" w:type="dxa"/>
            <w:tcBorders>
              <w:top w:val="single" w:sz="4" w:space="0" w:color="969696"/>
            </w:tcBorders>
            <w:shd w:val="clear" w:color="auto" w:fill="FEFBE7"/>
          </w:tcPr>
          <w:p w:rsidR="00BA4121" w:rsidRDefault="00255786">
            <w:pPr>
              <w:keepNext/>
            </w:pPr>
            <w:r>
              <w:t>Total</w:t>
            </w:r>
          </w:p>
        </w:tc>
        <w:tc>
          <w:tcPr>
            <w:tcW w:w="3588" w:type="dxa"/>
            <w:tcBorders>
              <w:top w:val="single" w:sz="4" w:space="0" w:color="969696"/>
            </w:tcBorders>
            <w:shd w:val="clear" w:color="auto" w:fill="FEFBE7"/>
            <w:noWrap/>
            <w:tcMar>
              <w:left w:w="0" w:type="dxa"/>
              <w:right w:w="0" w:type="dxa"/>
            </w:tcMar>
          </w:tcPr>
          <w:p w:rsidR="00BA4121" w:rsidRDefault="00BA4121">
            <w:pPr>
              <w:pStyle w:val="WhiteText"/>
              <w:keepNext/>
            </w:pPr>
          </w:p>
        </w:tc>
        <w:tc>
          <w:tcPr>
            <w:tcW w:w="1915" w:type="dxa"/>
            <w:tcBorders>
              <w:top w:val="single" w:sz="4" w:space="0" w:color="969696"/>
            </w:tcBorders>
            <w:shd w:val="clear" w:color="auto" w:fill="FEFBE7"/>
          </w:tcPr>
          <w:p w:rsidR="00BA4121" w:rsidRDefault="00255786">
            <w:pPr>
              <w:keepNext/>
              <w:jc w:val="center"/>
            </w:pPr>
            <w:r>
              <w:t>22</w:t>
            </w:r>
          </w:p>
        </w:tc>
        <w:tc>
          <w:tcPr>
            <w:tcW w:w="1915" w:type="dxa"/>
            <w:tcBorders>
              <w:top w:val="single" w:sz="4" w:space="0" w:color="969696"/>
            </w:tcBorders>
            <w:shd w:val="clear" w:color="auto" w:fill="FEFBE7"/>
          </w:tcPr>
          <w:p w:rsidR="00BA4121" w:rsidRDefault="00255786">
            <w:pPr>
              <w:keepNext/>
              <w:jc w:val="center"/>
            </w:pPr>
            <w:r>
              <w:t>100%</w:t>
            </w:r>
          </w:p>
        </w:tc>
      </w:tr>
    </w:tbl>
    <w:p w:rsidR="00BA4121" w:rsidRDefault="00BA4121"/>
    <w:tbl>
      <w:tblPr>
        <w:tblStyle w:val="QTable"/>
        <w:tblW w:w="9576" w:type="auto"/>
        <w:tblLook w:val="04A0" w:firstRow="1" w:lastRow="0" w:firstColumn="1" w:lastColumn="0" w:noHBand="0" w:noVBand="1"/>
      </w:tblPr>
      <w:tblGrid>
        <w:gridCol w:w="9576"/>
      </w:tblGrid>
      <w:tr w:rsidR="00BA4121">
        <w:tc>
          <w:tcPr>
            <w:tcW w:w="9576" w:type="dxa"/>
            <w:shd w:val="clear" w:color="auto" w:fill="58595B"/>
          </w:tcPr>
          <w:p w:rsidR="00BA4121" w:rsidRDefault="00255786">
            <w:pPr>
              <w:pStyle w:val="WhiteText"/>
              <w:keepNext/>
            </w:pPr>
            <w:r>
              <w:t>Yes, we are interested in automated renewals, but for an alternate time period. Specify:</w:t>
            </w:r>
          </w:p>
        </w:tc>
      </w:tr>
      <w:tr w:rsidR="00BA4121">
        <w:tc>
          <w:tcPr>
            <w:tcW w:w="9576" w:type="dxa"/>
            <w:shd w:val="clear" w:color="auto" w:fill="FEFBE7"/>
          </w:tcPr>
          <w:p w:rsidR="00BA4121" w:rsidRDefault="00255786">
            <w:pPr>
              <w:keepNext/>
            </w:pPr>
            <w:r>
              <w:t>14 days</w:t>
            </w:r>
          </w:p>
        </w:tc>
      </w:tr>
      <w:tr w:rsidR="00BA4121">
        <w:tc>
          <w:tcPr>
            <w:tcW w:w="9576" w:type="dxa"/>
          </w:tcPr>
          <w:p w:rsidR="00BA4121" w:rsidRDefault="00255786">
            <w:pPr>
              <w:keepNext/>
            </w:pPr>
            <w:r>
              <w:t>28 days</w:t>
            </w:r>
          </w:p>
        </w:tc>
      </w:tr>
    </w:tbl>
    <w:p w:rsidR="00BA4121" w:rsidRDefault="00BA4121"/>
    <w:tbl>
      <w:tblPr>
        <w:tblStyle w:val="QTable"/>
        <w:tblW w:w="9576" w:type="auto"/>
        <w:tblLook w:val="04A0" w:firstRow="1" w:lastRow="0" w:firstColumn="1" w:lastColumn="0" w:noHBand="0" w:noVBand="1"/>
      </w:tblPr>
      <w:tblGrid>
        <w:gridCol w:w="4788"/>
        <w:gridCol w:w="4788"/>
      </w:tblGrid>
      <w:tr w:rsidR="00BA4121">
        <w:tc>
          <w:tcPr>
            <w:tcW w:w="4788" w:type="dxa"/>
            <w:shd w:val="clear" w:color="auto" w:fill="58595B"/>
          </w:tcPr>
          <w:p w:rsidR="00BA4121" w:rsidRDefault="00255786">
            <w:pPr>
              <w:pStyle w:val="WhiteText"/>
              <w:keepNext/>
            </w:pPr>
            <w:r>
              <w:t>Statistic</w:t>
            </w:r>
          </w:p>
        </w:tc>
        <w:tc>
          <w:tcPr>
            <w:tcW w:w="4788" w:type="dxa"/>
            <w:shd w:val="clear" w:color="auto" w:fill="58595B"/>
          </w:tcPr>
          <w:p w:rsidR="00BA4121" w:rsidRDefault="00255786">
            <w:pPr>
              <w:pStyle w:val="WhiteText"/>
              <w:keepNext/>
              <w:jc w:val="right"/>
            </w:pPr>
            <w:r>
              <w:t>Value</w:t>
            </w:r>
          </w:p>
        </w:tc>
      </w:tr>
      <w:tr w:rsidR="00BA4121">
        <w:tc>
          <w:tcPr>
            <w:tcW w:w="4788" w:type="dxa"/>
            <w:shd w:val="clear" w:color="auto" w:fill="FEFBE7"/>
          </w:tcPr>
          <w:p w:rsidR="00BA4121" w:rsidRDefault="00255786">
            <w:pPr>
              <w:keepNext/>
            </w:pPr>
            <w:r>
              <w:t>Min Value</w:t>
            </w:r>
          </w:p>
        </w:tc>
        <w:tc>
          <w:tcPr>
            <w:tcW w:w="4788" w:type="dxa"/>
            <w:shd w:val="clear" w:color="auto" w:fill="FEFBE7"/>
          </w:tcPr>
          <w:p w:rsidR="00BA4121" w:rsidRDefault="00255786">
            <w:pPr>
              <w:keepNext/>
              <w:jc w:val="right"/>
            </w:pPr>
            <w:r>
              <w:t>1</w:t>
            </w:r>
          </w:p>
        </w:tc>
      </w:tr>
      <w:tr w:rsidR="00BA4121">
        <w:tc>
          <w:tcPr>
            <w:tcW w:w="4788" w:type="dxa"/>
          </w:tcPr>
          <w:p w:rsidR="00BA4121" w:rsidRDefault="00255786">
            <w:pPr>
              <w:keepNext/>
            </w:pPr>
            <w:r>
              <w:t>Max Value</w:t>
            </w:r>
          </w:p>
        </w:tc>
        <w:tc>
          <w:tcPr>
            <w:tcW w:w="4788" w:type="dxa"/>
          </w:tcPr>
          <w:p w:rsidR="00BA4121" w:rsidRDefault="00255786">
            <w:pPr>
              <w:keepNext/>
              <w:jc w:val="right"/>
            </w:pPr>
            <w:r>
              <w:t>3</w:t>
            </w:r>
          </w:p>
        </w:tc>
      </w:tr>
      <w:tr w:rsidR="00BA4121">
        <w:tc>
          <w:tcPr>
            <w:tcW w:w="4788" w:type="dxa"/>
            <w:shd w:val="clear" w:color="auto" w:fill="FEFBE7"/>
          </w:tcPr>
          <w:p w:rsidR="00BA4121" w:rsidRDefault="00255786">
            <w:pPr>
              <w:keepNext/>
            </w:pPr>
            <w:r>
              <w:t>Mean</w:t>
            </w:r>
          </w:p>
        </w:tc>
        <w:tc>
          <w:tcPr>
            <w:tcW w:w="4788" w:type="dxa"/>
            <w:shd w:val="clear" w:color="auto" w:fill="FEFBE7"/>
          </w:tcPr>
          <w:p w:rsidR="00BA4121" w:rsidRDefault="00255786">
            <w:pPr>
              <w:keepNext/>
              <w:jc w:val="right"/>
            </w:pPr>
            <w:r>
              <w:t>1.50</w:t>
            </w:r>
          </w:p>
        </w:tc>
      </w:tr>
      <w:tr w:rsidR="00BA4121">
        <w:tc>
          <w:tcPr>
            <w:tcW w:w="4788" w:type="dxa"/>
          </w:tcPr>
          <w:p w:rsidR="00BA4121" w:rsidRDefault="00255786">
            <w:pPr>
              <w:keepNext/>
            </w:pPr>
            <w:r>
              <w:t>Variance</w:t>
            </w:r>
          </w:p>
        </w:tc>
        <w:tc>
          <w:tcPr>
            <w:tcW w:w="4788" w:type="dxa"/>
          </w:tcPr>
          <w:p w:rsidR="00BA4121" w:rsidRDefault="00255786">
            <w:pPr>
              <w:keepNext/>
              <w:jc w:val="right"/>
            </w:pPr>
            <w:r>
              <w:t>0.64</w:t>
            </w:r>
          </w:p>
        </w:tc>
      </w:tr>
      <w:tr w:rsidR="00BA4121">
        <w:tc>
          <w:tcPr>
            <w:tcW w:w="4788" w:type="dxa"/>
            <w:shd w:val="clear" w:color="auto" w:fill="FEFBE7"/>
          </w:tcPr>
          <w:p w:rsidR="00BA4121" w:rsidRDefault="00255786">
            <w:pPr>
              <w:keepNext/>
            </w:pPr>
            <w:r>
              <w:t>Standard Deviation</w:t>
            </w:r>
          </w:p>
        </w:tc>
        <w:tc>
          <w:tcPr>
            <w:tcW w:w="4788" w:type="dxa"/>
            <w:shd w:val="clear" w:color="auto" w:fill="FEFBE7"/>
          </w:tcPr>
          <w:p w:rsidR="00BA4121" w:rsidRDefault="00255786">
            <w:pPr>
              <w:keepNext/>
              <w:jc w:val="right"/>
            </w:pPr>
            <w:r>
              <w:t>0.80</w:t>
            </w:r>
          </w:p>
        </w:tc>
      </w:tr>
      <w:tr w:rsidR="00BA4121">
        <w:tc>
          <w:tcPr>
            <w:tcW w:w="4788" w:type="dxa"/>
          </w:tcPr>
          <w:p w:rsidR="00BA4121" w:rsidRDefault="00255786">
            <w:pPr>
              <w:keepNext/>
            </w:pPr>
            <w:r>
              <w:t>Total Responses</w:t>
            </w:r>
          </w:p>
        </w:tc>
        <w:tc>
          <w:tcPr>
            <w:tcW w:w="4788" w:type="dxa"/>
          </w:tcPr>
          <w:p w:rsidR="00BA4121" w:rsidRDefault="00255786">
            <w:pPr>
              <w:keepNext/>
              <w:jc w:val="right"/>
            </w:pPr>
            <w:r>
              <w:t>22</w:t>
            </w:r>
          </w:p>
        </w:tc>
      </w:tr>
    </w:tbl>
    <w:p w:rsidR="00BA4121" w:rsidRDefault="00BA4121"/>
    <w:p w:rsidR="00BA4121" w:rsidRDefault="00255786">
      <w:pPr>
        <w:pStyle w:val="QLabel"/>
        <w:keepNext/>
      </w:pPr>
      <w:r>
        <w:lastRenderedPageBreak/>
        <w:t>4.  2b.    Comments?</w:t>
      </w:r>
    </w:p>
    <w:tbl>
      <w:tblPr>
        <w:tblStyle w:val="QTable"/>
        <w:tblW w:w="9576" w:type="auto"/>
        <w:tblLook w:val="04A0" w:firstRow="1" w:lastRow="0" w:firstColumn="1" w:lastColumn="0" w:noHBand="0" w:noVBand="1"/>
      </w:tblPr>
      <w:tblGrid>
        <w:gridCol w:w="9576"/>
      </w:tblGrid>
      <w:tr w:rsidR="00BA4121">
        <w:tc>
          <w:tcPr>
            <w:tcW w:w="9576" w:type="dxa"/>
            <w:shd w:val="clear" w:color="auto" w:fill="58595B"/>
          </w:tcPr>
          <w:p w:rsidR="00BA4121" w:rsidRDefault="00255786">
            <w:pPr>
              <w:pStyle w:val="WhiteText"/>
              <w:keepNext/>
            </w:pPr>
            <w:r>
              <w:t>Text Response</w:t>
            </w:r>
          </w:p>
        </w:tc>
      </w:tr>
      <w:tr w:rsidR="00BA4121">
        <w:tc>
          <w:tcPr>
            <w:tcW w:w="9576" w:type="dxa"/>
            <w:shd w:val="clear" w:color="auto" w:fill="FEFBE7"/>
          </w:tcPr>
          <w:p w:rsidR="00BA4121" w:rsidRDefault="00255786">
            <w:pPr>
              <w:keepNext/>
            </w:pPr>
            <w:r>
              <w:t>As long as the auto renewal is books only and no media.</w:t>
            </w:r>
          </w:p>
        </w:tc>
      </w:tr>
      <w:tr w:rsidR="00BA4121">
        <w:tc>
          <w:tcPr>
            <w:tcW w:w="9576" w:type="dxa"/>
          </w:tcPr>
          <w:p w:rsidR="00BA4121" w:rsidRDefault="00255786">
            <w:pPr>
              <w:keepNext/>
            </w:pPr>
            <w:r>
              <w:t xml:space="preserve">Our staff is responsive and capable of responding to renewals </w:t>
            </w:r>
            <w:r>
              <w:t xml:space="preserve">where items are not in demand. Usually, items </w:t>
            </w:r>
            <w:proofErr w:type="spellStart"/>
            <w:r>
              <w:t>reqeusted</w:t>
            </w:r>
            <w:proofErr w:type="spellEnd"/>
            <w:r>
              <w:t xml:space="preserve"> are not on demand. Special rules if textbook (current edition)</w:t>
            </w:r>
          </w:p>
        </w:tc>
      </w:tr>
      <w:tr w:rsidR="00BA4121">
        <w:tc>
          <w:tcPr>
            <w:tcW w:w="9576" w:type="dxa"/>
            <w:shd w:val="clear" w:color="auto" w:fill="FEFBE7"/>
          </w:tcPr>
          <w:p w:rsidR="00BA4121" w:rsidRDefault="00255786">
            <w:pPr>
              <w:keepNext/>
            </w:pPr>
            <w:r>
              <w:t>Automated renewal will reduce our workload.</w:t>
            </w:r>
          </w:p>
        </w:tc>
      </w:tr>
      <w:tr w:rsidR="00BA4121">
        <w:tc>
          <w:tcPr>
            <w:tcW w:w="9576" w:type="dxa"/>
          </w:tcPr>
          <w:p w:rsidR="00BA4121" w:rsidRDefault="00255786">
            <w:pPr>
              <w:keepNext/>
            </w:pPr>
            <w:r>
              <w:t xml:space="preserve">One campus did not want automatic renewals, one campus agreed to a 30 day renewal, and one </w:t>
            </w:r>
            <w:r>
              <w:t>comment was to recommend a one-time 30 day renewal.  This way, if the items are lost, then the borrower can't repeatedly continue to renew the lost item.</w:t>
            </w:r>
          </w:p>
        </w:tc>
      </w:tr>
      <w:tr w:rsidR="00BA4121">
        <w:tc>
          <w:tcPr>
            <w:tcW w:w="9576" w:type="dxa"/>
            <w:shd w:val="clear" w:color="auto" w:fill="FEFBE7"/>
          </w:tcPr>
          <w:p w:rsidR="00BA4121" w:rsidRDefault="00255786">
            <w:pPr>
              <w:keepNext/>
            </w:pPr>
            <w:r>
              <w:t>If we go to a 60 day loan period, we would not want to renew. If we continue with a 28 or 30 day loan</w:t>
            </w:r>
            <w:r>
              <w:t xml:space="preserve"> period, we would agree to a 30 day automated renewal.</w:t>
            </w:r>
          </w:p>
        </w:tc>
      </w:tr>
      <w:tr w:rsidR="00BA4121">
        <w:tc>
          <w:tcPr>
            <w:tcW w:w="9576" w:type="dxa"/>
          </w:tcPr>
          <w:p w:rsidR="00BA4121" w:rsidRDefault="00255786">
            <w:pPr>
              <w:keepNext/>
            </w:pPr>
            <w:proofErr w:type="gramStart"/>
            <w:r>
              <w:t>only</w:t>
            </w:r>
            <w:proofErr w:type="gramEnd"/>
            <w:r>
              <w:t xml:space="preserve"> a single </w:t>
            </w:r>
            <w:proofErr w:type="spellStart"/>
            <w:r>
              <w:t>thrity</w:t>
            </w:r>
            <w:proofErr w:type="spellEnd"/>
            <w:r>
              <w:t xml:space="preserve"> day automated renewal for each item.</w:t>
            </w:r>
          </w:p>
        </w:tc>
      </w:tr>
      <w:tr w:rsidR="00BA4121">
        <w:tc>
          <w:tcPr>
            <w:tcW w:w="9576" w:type="dxa"/>
            <w:shd w:val="clear" w:color="auto" w:fill="FEFBE7"/>
          </w:tcPr>
          <w:p w:rsidR="00BA4121" w:rsidRDefault="00255786">
            <w:pPr>
              <w:keepNext/>
            </w:pPr>
            <w:r>
              <w:t xml:space="preserve">Prefer not to do that at this time. it could be revisited in a year or two when we better know the impact to collections, how pilot is </w:t>
            </w:r>
            <w:r>
              <w:t>working, and how much budgets are being impacted for having sufficient materials in-house for institution's students</w:t>
            </w:r>
          </w:p>
        </w:tc>
      </w:tr>
      <w:tr w:rsidR="00BA4121">
        <w:tc>
          <w:tcPr>
            <w:tcW w:w="9576" w:type="dxa"/>
          </w:tcPr>
          <w:p w:rsidR="00BA4121" w:rsidRDefault="00255786">
            <w:pPr>
              <w:keepNext/>
            </w:pPr>
            <w:r>
              <w:t>We would like to continue to review renewals.  Leisure books, books that could be used as textbooks, study guides, and other popular mater</w:t>
            </w:r>
            <w:r>
              <w:t>ials are often loaned from FCS libraries and we would not necessarily want to renew these, especially if we go to a 60 day loan cycle.</w:t>
            </w:r>
          </w:p>
        </w:tc>
      </w:tr>
    </w:tbl>
    <w:p w:rsidR="00255786" w:rsidRDefault="00255786"/>
    <w:p w:rsidR="00255786" w:rsidRDefault="00255786">
      <w:r>
        <w:br w:type="page"/>
      </w:r>
    </w:p>
    <w:p w:rsidR="00BA4121" w:rsidRDefault="00BA4121"/>
    <w:tbl>
      <w:tblPr>
        <w:tblStyle w:val="QTable"/>
        <w:tblW w:w="9576" w:type="auto"/>
        <w:tblLook w:val="04A0" w:firstRow="1" w:lastRow="0" w:firstColumn="1" w:lastColumn="0" w:noHBand="0" w:noVBand="1"/>
      </w:tblPr>
      <w:tblGrid>
        <w:gridCol w:w="4788"/>
        <w:gridCol w:w="4788"/>
      </w:tblGrid>
      <w:tr w:rsidR="00BA4121">
        <w:tc>
          <w:tcPr>
            <w:tcW w:w="4788" w:type="dxa"/>
            <w:shd w:val="clear" w:color="auto" w:fill="58595B"/>
          </w:tcPr>
          <w:p w:rsidR="00BA4121" w:rsidRDefault="00255786">
            <w:pPr>
              <w:pStyle w:val="WhiteText"/>
              <w:keepNext/>
            </w:pPr>
            <w:r>
              <w:t>Statistic</w:t>
            </w:r>
          </w:p>
        </w:tc>
        <w:tc>
          <w:tcPr>
            <w:tcW w:w="4788" w:type="dxa"/>
            <w:shd w:val="clear" w:color="auto" w:fill="58595B"/>
          </w:tcPr>
          <w:p w:rsidR="00BA4121" w:rsidRDefault="00255786">
            <w:pPr>
              <w:pStyle w:val="WhiteText"/>
              <w:keepNext/>
              <w:jc w:val="right"/>
            </w:pPr>
            <w:r>
              <w:t>Value</w:t>
            </w:r>
          </w:p>
        </w:tc>
      </w:tr>
      <w:tr w:rsidR="00BA4121">
        <w:tc>
          <w:tcPr>
            <w:tcW w:w="4788" w:type="dxa"/>
            <w:shd w:val="clear" w:color="auto" w:fill="FEFBE7"/>
          </w:tcPr>
          <w:p w:rsidR="00BA4121" w:rsidRDefault="00255786">
            <w:pPr>
              <w:keepNext/>
            </w:pPr>
            <w:r>
              <w:t>Total Responses</w:t>
            </w:r>
          </w:p>
        </w:tc>
        <w:tc>
          <w:tcPr>
            <w:tcW w:w="4788" w:type="dxa"/>
            <w:shd w:val="clear" w:color="auto" w:fill="FEFBE7"/>
          </w:tcPr>
          <w:p w:rsidR="00BA4121" w:rsidRDefault="00255786">
            <w:pPr>
              <w:keepNext/>
              <w:jc w:val="right"/>
            </w:pPr>
            <w:r>
              <w:t>8</w:t>
            </w:r>
          </w:p>
        </w:tc>
      </w:tr>
    </w:tbl>
    <w:p w:rsidR="00BA4121" w:rsidRDefault="00BA4121"/>
    <w:p w:rsidR="00BA4121" w:rsidRDefault="00255786">
      <w:pPr>
        <w:pStyle w:val="QLabel"/>
        <w:keepNext/>
      </w:pPr>
      <w:r>
        <w:t xml:space="preserve">5.  3a.    Would your institution be willing to move to a one business day </w:t>
      </w:r>
      <w:r>
        <w:t>expiration? </w:t>
      </w:r>
    </w:p>
    <w:tbl>
      <w:tblPr>
        <w:tblStyle w:val="QTable"/>
        <w:tblW w:w="9576" w:type="auto"/>
        <w:tblLook w:val="04E0" w:firstRow="1" w:lastRow="1" w:firstColumn="1" w:lastColumn="0" w:noHBand="0" w:noVBand="1"/>
      </w:tblPr>
      <w:tblGrid>
        <w:gridCol w:w="1275"/>
        <w:gridCol w:w="1641"/>
        <w:gridCol w:w="3588"/>
        <w:gridCol w:w="1631"/>
        <w:gridCol w:w="1455"/>
      </w:tblGrid>
      <w:tr w:rsidR="00BA4121">
        <w:tc>
          <w:tcPr>
            <w:tcW w:w="1915" w:type="dxa"/>
            <w:shd w:val="clear" w:color="auto" w:fill="58595B"/>
          </w:tcPr>
          <w:p w:rsidR="00BA4121" w:rsidRDefault="00255786">
            <w:pPr>
              <w:pStyle w:val="WhiteText"/>
              <w:keepNext/>
              <w:jc w:val="center"/>
            </w:pPr>
            <w:r>
              <w:t>#</w:t>
            </w:r>
          </w:p>
        </w:tc>
        <w:tc>
          <w:tcPr>
            <w:tcW w:w="1915" w:type="dxa"/>
            <w:shd w:val="clear" w:color="auto" w:fill="58595B"/>
          </w:tcPr>
          <w:p w:rsidR="00BA4121" w:rsidRDefault="00255786">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BA4121" w:rsidTr="00BA4121">
              <w:tc>
                <w:tcPr>
                  <w:cnfStyle w:val="001000000000" w:firstRow="0" w:lastRow="0" w:firstColumn="1" w:lastColumn="0" w:oddVBand="0" w:evenVBand="0" w:oddHBand="0" w:evenHBand="0" w:firstRowFirstColumn="0" w:firstRowLastColumn="0" w:lastRowFirstColumn="0" w:lastRowLastColumn="0"/>
                  <w:tcW w:w="0" w:type="dxa"/>
                </w:tcPr>
                <w:p w:rsidR="00BA4121" w:rsidRDefault="00BA4121">
                  <w:pPr>
                    <w:pStyle w:val="WhiteText"/>
                    <w:rPr>
                      <w:szCs w:val="14"/>
                    </w:rPr>
                  </w:pPr>
                </w:p>
              </w:tc>
              <w:tc>
                <w:tcPr>
                  <w:tcW w:w="3578" w:type="dxa"/>
                </w:tcPr>
                <w:p w:rsidR="00BA4121" w:rsidRDefault="00BA4121">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A4121" w:rsidRDefault="00BA4121"/>
        </w:tc>
        <w:tc>
          <w:tcPr>
            <w:tcW w:w="1915" w:type="dxa"/>
            <w:shd w:val="clear" w:color="auto" w:fill="58595B"/>
          </w:tcPr>
          <w:p w:rsidR="00BA4121" w:rsidRDefault="00255786">
            <w:pPr>
              <w:pStyle w:val="WhiteText"/>
              <w:keepNext/>
              <w:jc w:val="center"/>
            </w:pPr>
            <w:r>
              <w:t>Response</w:t>
            </w:r>
          </w:p>
        </w:tc>
        <w:tc>
          <w:tcPr>
            <w:tcW w:w="1915" w:type="dxa"/>
            <w:shd w:val="clear" w:color="auto" w:fill="58595B"/>
          </w:tcPr>
          <w:p w:rsidR="00BA4121" w:rsidRDefault="00255786">
            <w:pPr>
              <w:pStyle w:val="WhiteText"/>
              <w:keepNext/>
              <w:jc w:val="center"/>
            </w:pPr>
            <w:r>
              <w:t>%</w:t>
            </w:r>
          </w:p>
        </w:tc>
      </w:tr>
      <w:tr w:rsidR="00BA4121">
        <w:tc>
          <w:tcPr>
            <w:tcW w:w="1915" w:type="dxa"/>
            <w:shd w:val="clear" w:color="auto" w:fill="FEFBE7"/>
          </w:tcPr>
          <w:p w:rsidR="00BA4121" w:rsidRDefault="00255786">
            <w:pPr>
              <w:keepNext/>
              <w:jc w:val="center"/>
            </w:pPr>
            <w:r>
              <w:t>1</w:t>
            </w:r>
          </w:p>
        </w:tc>
        <w:tc>
          <w:tcPr>
            <w:tcW w:w="1915" w:type="dxa"/>
            <w:shd w:val="clear" w:color="auto" w:fill="FEFBE7"/>
          </w:tcPr>
          <w:p w:rsidR="00BA4121" w:rsidRDefault="00255786">
            <w:pPr>
              <w:keepNext/>
            </w:pPr>
            <w:r>
              <w:t>Yes, we are willing to check the ILL module every business day and move to a one-day expiration, weekends excluded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301"/>
              <w:gridCol w:w="2277"/>
            </w:tblGrid>
            <w:tr w:rsidR="00BA4121" w:rsidTr="00BA4121">
              <w:tc>
                <w:tcPr>
                  <w:cnfStyle w:val="001000000000" w:firstRow="0" w:lastRow="0" w:firstColumn="1" w:lastColumn="0" w:oddVBand="0" w:evenVBand="0" w:oddHBand="0" w:evenHBand="0" w:firstRowFirstColumn="0" w:firstRowLastColumn="0" w:lastRowFirstColumn="0" w:lastRowLastColumn="0"/>
                  <w:tcW w:w="1301" w:type="dxa"/>
                </w:tcPr>
                <w:p w:rsidR="00BA4121" w:rsidRDefault="00BA4121">
                  <w:pPr>
                    <w:pStyle w:val="WhiteText"/>
                    <w:rPr>
                      <w:szCs w:val="14"/>
                    </w:rPr>
                  </w:pPr>
                </w:p>
              </w:tc>
              <w:tc>
                <w:tcPr>
                  <w:tcW w:w="2277" w:type="dxa"/>
                </w:tcPr>
                <w:p w:rsidR="00BA4121" w:rsidRDefault="00BA4121">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A4121" w:rsidRDefault="00BA4121"/>
        </w:tc>
        <w:tc>
          <w:tcPr>
            <w:tcW w:w="1915" w:type="dxa"/>
            <w:shd w:val="clear" w:color="auto" w:fill="FEFBE7"/>
          </w:tcPr>
          <w:p w:rsidR="00BA4121" w:rsidRDefault="00255786">
            <w:pPr>
              <w:keepNext/>
              <w:jc w:val="center"/>
            </w:pPr>
            <w:r>
              <w:t>8</w:t>
            </w:r>
          </w:p>
        </w:tc>
        <w:tc>
          <w:tcPr>
            <w:tcW w:w="1915" w:type="dxa"/>
            <w:shd w:val="clear" w:color="auto" w:fill="FEFBE7"/>
          </w:tcPr>
          <w:p w:rsidR="00BA4121" w:rsidRDefault="00255786">
            <w:pPr>
              <w:keepNext/>
              <w:jc w:val="center"/>
            </w:pPr>
            <w:r>
              <w:t>36%</w:t>
            </w:r>
          </w:p>
        </w:tc>
      </w:tr>
      <w:tr w:rsidR="00BA4121">
        <w:tc>
          <w:tcPr>
            <w:tcW w:w="1915" w:type="dxa"/>
          </w:tcPr>
          <w:p w:rsidR="00BA4121" w:rsidRDefault="00255786">
            <w:pPr>
              <w:keepNext/>
              <w:jc w:val="center"/>
            </w:pPr>
            <w:r>
              <w:t>2</w:t>
            </w:r>
          </w:p>
        </w:tc>
        <w:tc>
          <w:tcPr>
            <w:tcW w:w="1915" w:type="dxa"/>
          </w:tcPr>
          <w:p w:rsidR="00BA4121" w:rsidRDefault="00255786">
            <w:pPr>
              <w:keepNext/>
            </w:pPr>
            <w:r>
              <w:t>No, we prefer to remain with a three-day expiration.</w:t>
            </w:r>
          </w:p>
        </w:tc>
        <w:tc>
          <w:tcPr>
            <w:tcW w:w="3588" w:type="dxa"/>
            <w:noWrap/>
            <w:tcMar>
              <w:left w:w="0" w:type="dxa"/>
              <w:right w:w="0" w:type="dxa"/>
            </w:tcMar>
          </w:tcPr>
          <w:tbl>
            <w:tblPr>
              <w:tblStyle w:val="QBar"/>
              <w:tblW w:w="3578" w:type="auto"/>
              <w:tblLook w:val="04A0" w:firstRow="1" w:lastRow="0" w:firstColumn="1" w:lastColumn="0" w:noHBand="0" w:noVBand="1"/>
            </w:tblPr>
            <w:tblGrid>
              <w:gridCol w:w="1138"/>
              <w:gridCol w:w="2440"/>
            </w:tblGrid>
            <w:tr w:rsidR="00BA4121" w:rsidTr="00BA4121">
              <w:tc>
                <w:tcPr>
                  <w:cnfStyle w:val="001000000000" w:firstRow="0" w:lastRow="0" w:firstColumn="1" w:lastColumn="0" w:oddVBand="0" w:evenVBand="0" w:oddHBand="0" w:evenHBand="0" w:firstRowFirstColumn="0" w:firstRowLastColumn="0" w:lastRowFirstColumn="0" w:lastRowLastColumn="0"/>
                  <w:tcW w:w="1138" w:type="dxa"/>
                </w:tcPr>
                <w:p w:rsidR="00BA4121" w:rsidRDefault="00BA4121">
                  <w:pPr>
                    <w:pStyle w:val="WhiteText"/>
                    <w:rPr>
                      <w:szCs w:val="14"/>
                    </w:rPr>
                  </w:pPr>
                </w:p>
              </w:tc>
              <w:tc>
                <w:tcPr>
                  <w:tcW w:w="2440" w:type="dxa"/>
                </w:tcPr>
                <w:p w:rsidR="00BA4121" w:rsidRDefault="00BA4121">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A4121" w:rsidRDefault="00BA4121"/>
        </w:tc>
        <w:tc>
          <w:tcPr>
            <w:tcW w:w="1915" w:type="dxa"/>
          </w:tcPr>
          <w:p w:rsidR="00BA4121" w:rsidRDefault="00255786">
            <w:pPr>
              <w:keepNext/>
              <w:jc w:val="center"/>
            </w:pPr>
            <w:r>
              <w:t>7</w:t>
            </w:r>
          </w:p>
        </w:tc>
        <w:tc>
          <w:tcPr>
            <w:tcW w:w="1915" w:type="dxa"/>
          </w:tcPr>
          <w:p w:rsidR="00BA4121" w:rsidRDefault="00255786">
            <w:pPr>
              <w:keepNext/>
              <w:jc w:val="center"/>
            </w:pPr>
            <w:r>
              <w:t>32%</w:t>
            </w:r>
          </w:p>
        </w:tc>
      </w:tr>
      <w:tr w:rsidR="00BA4121">
        <w:tc>
          <w:tcPr>
            <w:tcW w:w="1915" w:type="dxa"/>
            <w:shd w:val="clear" w:color="auto" w:fill="FEFBE7"/>
          </w:tcPr>
          <w:p w:rsidR="00BA4121" w:rsidRDefault="00255786">
            <w:pPr>
              <w:keepNext/>
              <w:jc w:val="center"/>
            </w:pPr>
            <w:r>
              <w:t>3</w:t>
            </w:r>
          </w:p>
        </w:tc>
        <w:tc>
          <w:tcPr>
            <w:tcW w:w="1915" w:type="dxa"/>
            <w:shd w:val="clear" w:color="auto" w:fill="FEFBE7"/>
          </w:tcPr>
          <w:p w:rsidR="00BA4121" w:rsidRDefault="00255786">
            <w:pPr>
              <w:keepNext/>
            </w:pPr>
            <w:r>
              <w:t>No, but we can move to</w:t>
            </w:r>
            <w:r>
              <w:t xml:space="preserve"> a two-day expiration.</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38"/>
              <w:gridCol w:w="2440"/>
            </w:tblGrid>
            <w:tr w:rsidR="00BA4121" w:rsidTr="00BA4121">
              <w:tc>
                <w:tcPr>
                  <w:cnfStyle w:val="001000000000" w:firstRow="0" w:lastRow="0" w:firstColumn="1" w:lastColumn="0" w:oddVBand="0" w:evenVBand="0" w:oddHBand="0" w:evenHBand="0" w:firstRowFirstColumn="0" w:firstRowLastColumn="0" w:lastRowFirstColumn="0" w:lastRowLastColumn="0"/>
                  <w:tcW w:w="1138" w:type="dxa"/>
                </w:tcPr>
                <w:p w:rsidR="00BA4121" w:rsidRDefault="00BA4121">
                  <w:pPr>
                    <w:pStyle w:val="WhiteText"/>
                    <w:rPr>
                      <w:szCs w:val="14"/>
                    </w:rPr>
                  </w:pPr>
                </w:p>
              </w:tc>
              <w:tc>
                <w:tcPr>
                  <w:tcW w:w="2440" w:type="dxa"/>
                </w:tcPr>
                <w:p w:rsidR="00BA4121" w:rsidRDefault="00BA4121">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A4121" w:rsidRDefault="00BA4121"/>
        </w:tc>
        <w:tc>
          <w:tcPr>
            <w:tcW w:w="1915" w:type="dxa"/>
            <w:shd w:val="clear" w:color="auto" w:fill="FEFBE7"/>
          </w:tcPr>
          <w:p w:rsidR="00BA4121" w:rsidRDefault="00255786">
            <w:pPr>
              <w:keepNext/>
              <w:jc w:val="center"/>
            </w:pPr>
            <w:r>
              <w:t>7</w:t>
            </w:r>
          </w:p>
        </w:tc>
        <w:tc>
          <w:tcPr>
            <w:tcW w:w="1915" w:type="dxa"/>
            <w:shd w:val="clear" w:color="auto" w:fill="FEFBE7"/>
          </w:tcPr>
          <w:p w:rsidR="00BA4121" w:rsidRDefault="00255786">
            <w:pPr>
              <w:keepNext/>
              <w:jc w:val="center"/>
            </w:pPr>
            <w:r>
              <w:t>32%</w:t>
            </w:r>
          </w:p>
        </w:tc>
      </w:tr>
      <w:tr w:rsidR="00BA4121">
        <w:tc>
          <w:tcPr>
            <w:tcW w:w="1915" w:type="dxa"/>
            <w:tcBorders>
              <w:top w:val="single" w:sz="4" w:space="0" w:color="969696"/>
            </w:tcBorders>
            <w:shd w:val="clear" w:color="auto" w:fill="FEFBE7"/>
          </w:tcPr>
          <w:p w:rsidR="00BA4121" w:rsidRDefault="00BA4121">
            <w:pPr>
              <w:keepNext/>
              <w:jc w:val="center"/>
            </w:pPr>
          </w:p>
        </w:tc>
        <w:tc>
          <w:tcPr>
            <w:tcW w:w="1915" w:type="dxa"/>
            <w:tcBorders>
              <w:top w:val="single" w:sz="4" w:space="0" w:color="969696"/>
            </w:tcBorders>
            <w:shd w:val="clear" w:color="auto" w:fill="FEFBE7"/>
          </w:tcPr>
          <w:p w:rsidR="00BA4121" w:rsidRDefault="00255786">
            <w:pPr>
              <w:keepNext/>
            </w:pPr>
            <w:r>
              <w:t>Total</w:t>
            </w:r>
          </w:p>
        </w:tc>
        <w:tc>
          <w:tcPr>
            <w:tcW w:w="3588" w:type="dxa"/>
            <w:tcBorders>
              <w:top w:val="single" w:sz="4" w:space="0" w:color="969696"/>
            </w:tcBorders>
            <w:shd w:val="clear" w:color="auto" w:fill="FEFBE7"/>
            <w:noWrap/>
            <w:tcMar>
              <w:left w:w="0" w:type="dxa"/>
              <w:right w:w="0" w:type="dxa"/>
            </w:tcMar>
          </w:tcPr>
          <w:p w:rsidR="00BA4121" w:rsidRDefault="00BA4121">
            <w:pPr>
              <w:pStyle w:val="WhiteText"/>
              <w:keepNext/>
            </w:pPr>
          </w:p>
        </w:tc>
        <w:tc>
          <w:tcPr>
            <w:tcW w:w="1915" w:type="dxa"/>
            <w:tcBorders>
              <w:top w:val="single" w:sz="4" w:space="0" w:color="969696"/>
            </w:tcBorders>
            <w:shd w:val="clear" w:color="auto" w:fill="FEFBE7"/>
          </w:tcPr>
          <w:p w:rsidR="00BA4121" w:rsidRDefault="00255786">
            <w:pPr>
              <w:keepNext/>
              <w:jc w:val="center"/>
            </w:pPr>
            <w:r>
              <w:t>22</w:t>
            </w:r>
          </w:p>
        </w:tc>
        <w:tc>
          <w:tcPr>
            <w:tcW w:w="1915" w:type="dxa"/>
            <w:tcBorders>
              <w:top w:val="single" w:sz="4" w:space="0" w:color="969696"/>
            </w:tcBorders>
            <w:shd w:val="clear" w:color="auto" w:fill="FEFBE7"/>
          </w:tcPr>
          <w:p w:rsidR="00BA4121" w:rsidRDefault="00255786">
            <w:pPr>
              <w:keepNext/>
              <w:jc w:val="center"/>
            </w:pPr>
            <w:r>
              <w:t>100%</w:t>
            </w:r>
          </w:p>
        </w:tc>
      </w:tr>
    </w:tbl>
    <w:p w:rsidR="00BA4121" w:rsidRDefault="00BA4121"/>
    <w:tbl>
      <w:tblPr>
        <w:tblStyle w:val="QTable"/>
        <w:tblW w:w="9576" w:type="auto"/>
        <w:tblLook w:val="04A0" w:firstRow="1" w:lastRow="0" w:firstColumn="1" w:lastColumn="0" w:noHBand="0" w:noVBand="1"/>
      </w:tblPr>
      <w:tblGrid>
        <w:gridCol w:w="4788"/>
        <w:gridCol w:w="4788"/>
      </w:tblGrid>
      <w:tr w:rsidR="00BA4121">
        <w:tc>
          <w:tcPr>
            <w:tcW w:w="4788" w:type="dxa"/>
            <w:shd w:val="clear" w:color="auto" w:fill="58595B"/>
          </w:tcPr>
          <w:p w:rsidR="00BA4121" w:rsidRDefault="00255786">
            <w:pPr>
              <w:pStyle w:val="WhiteText"/>
              <w:keepNext/>
            </w:pPr>
            <w:r>
              <w:t>Statistic</w:t>
            </w:r>
          </w:p>
        </w:tc>
        <w:tc>
          <w:tcPr>
            <w:tcW w:w="4788" w:type="dxa"/>
            <w:shd w:val="clear" w:color="auto" w:fill="58595B"/>
          </w:tcPr>
          <w:p w:rsidR="00BA4121" w:rsidRDefault="00255786">
            <w:pPr>
              <w:pStyle w:val="WhiteText"/>
              <w:keepNext/>
              <w:jc w:val="right"/>
            </w:pPr>
            <w:r>
              <w:t>Value</w:t>
            </w:r>
          </w:p>
        </w:tc>
      </w:tr>
      <w:tr w:rsidR="00BA4121">
        <w:tc>
          <w:tcPr>
            <w:tcW w:w="4788" w:type="dxa"/>
            <w:shd w:val="clear" w:color="auto" w:fill="FEFBE7"/>
          </w:tcPr>
          <w:p w:rsidR="00BA4121" w:rsidRDefault="00255786">
            <w:pPr>
              <w:keepNext/>
            </w:pPr>
            <w:r>
              <w:t>Min Value</w:t>
            </w:r>
          </w:p>
        </w:tc>
        <w:tc>
          <w:tcPr>
            <w:tcW w:w="4788" w:type="dxa"/>
            <w:shd w:val="clear" w:color="auto" w:fill="FEFBE7"/>
          </w:tcPr>
          <w:p w:rsidR="00BA4121" w:rsidRDefault="00255786">
            <w:pPr>
              <w:keepNext/>
              <w:jc w:val="right"/>
            </w:pPr>
            <w:r>
              <w:t>1</w:t>
            </w:r>
          </w:p>
        </w:tc>
      </w:tr>
      <w:tr w:rsidR="00BA4121">
        <w:tc>
          <w:tcPr>
            <w:tcW w:w="4788" w:type="dxa"/>
          </w:tcPr>
          <w:p w:rsidR="00BA4121" w:rsidRDefault="00255786">
            <w:pPr>
              <w:keepNext/>
            </w:pPr>
            <w:r>
              <w:t>Max Value</w:t>
            </w:r>
          </w:p>
        </w:tc>
        <w:tc>
          <w:tcPr>
            <w:tcW w:w="4788" w:type="dxa"/>
          </w:tcPr>
          <w:p w:rsidR="00BA4121" w:rsidRDefault="00255786">
            <w:pPr>
              <w:keepNext/>
              <w:jc w:val="right"/>
            </w:pPr>
            <w:r>
              <w:t>3</w:t>
            </w:r>
          </w:p>
        </w:tc>
      </w:tr>
      <w:tr w:rsidR="00BA4121">
        <w:tc>
          <w:tcPr>
            <w:tcW w:w="4788" w:type="dxa"/>
            <w:shd w:val="clear" w:color="auto" w:fill="FEFBE7"/>
          </w:tcPr>
          <w:p w:rsidR="00BA4121" w:rsidRDefault="00255786">
            <w:pPr>
              <w:keepNext/>
            </w:pPr>
            <w:r>
              <w:t>Mean</w:t>
            </w:r>
          </w:p>
        </w:tc>
        <w:tc>
          <w:tcPr>
            <w:tcW w:w="4788" w:type="dxa"/>
            <w:shd w:val="clear" w:color="auto" w:fill="FEFBE7"/>
          </w:tcPr>
          <w:p w:rsidR="00BA4121" w:rsidRDefault="00255786">
            <w:pPr>
              <w:keepNext/>
              <w:jc w:val="right"/>
            </w:pPr>
            <w:r>
              <w:t>1.95</w:t>
            </w:r>
          </w:p>
        </w:tc>
      </w:tr>
      <w:tr w:rsidR="00BA4121">
        <w:tc>
          <w:tcPr>
            <w:tcW w:w="4788" w:type="dxa"/>
          </w:tcPr>
          <w:p w:rsidR="00BA4121" w:rsidRDefault="00255786">
            <w:pPr>
              <w:keepNext/>
            </w:pPr>
            <w:r>
              <w:t>Variance</w:t>
            </w:r>
          </w:p>
        </w:tc>
        <w:tc>
          <w:tcPr>
            <w:tcW w:w="4788" w:type="dxa"/>
          </w:tcPr>
          <w:p w:rsidR="00BA4121" w:rsidRDefault="00255786">
            <w:pPr>
              <w:keepNext/>
              <w:jc w:val="right"/>
            </w:pPr>
            <w:r>
              <w:t>0.71</w:t>
            </w:r>
          </w:p>
        </w:tc>
      </w:tr>
      <w:tr w:rsidR="00BA4121">
        <w:tc>
          <w:tcPr>
            <w:tcW w:w="4788" w:type="dxa"/>
            <w:shd w:val="clear" w:color="auto" w:fill="FEFBE7"/>
          </w:tcPr>
          <w:p w:rsidR="00BA4121" w:rsidRDefault="00255786">
            <w:pPr>
              <w:keepNext/>
            </w:pPr>
            <w:r>
              <w:t>Standard Deviation</w:t>
            </w:r>
          </w:p>
        </w:tc>
        <w:tc>
          <w:tcPr>
            <w:tcW w:w="4788" w:type="dxa"/>
            <w:shd w:val="clear" w:color="auto" w:fill="FEFBE7"/>
          </w:tcPr>
          <w:p w:rsidR="00BA4121" w:rsidRDefault="00255786">
            <w:pPr>
              <w:keepNext/>
              <w:jc w:val="right"/>
            </w:pPr>
            <w:r>
              <w:t>0.84</w:t>
            </w:r>
          </w:p>
        </w:tc>
      </w:tr>
      <w:tr w:rsidR="00BA4121">
        <w:tc>
          <w:tcPr>
            <w:tcW w:w="4788" w:type="dxa"/>
          </w:tcPr>
          <w:p w:rsidR="00BA4121" w:rsidRDefault="00255786">
            <w:pPr>
              <w:keepNext/>
            </w:pPr>
            <w:r>
              <w:t>Total Responses</w:t>
            </w:r>
          </w:p>
        </w:tc>
        <w:tc>
          <w:tcPr>
            <w:tcW w:w="4788" w:type="dxa"/>
          </w:tcPr>
          <w:p w:rsidR="00BA4121" w:rsidRDefault="00255786">
            <w:pPr>
              <w:keepNext/>
              <w:jc w:val="right"/>
            </w:pPr>
            <w:r>
              <w:t>22</w:t>
            </w:r>
          </w:p>
        </w:tc>
      </w:tr>
    </w:tbl>
    <w:p w:rsidR="00BA4121" w:rsidRDefault="00BA4121"/>
    <w:p w:rsidR="00BA4121" w:rsidRDefault="00255786">
      <w:pPr>
        <w:pStyle w:val="QLabel"/>
        <w:keepNext/>
      </w:pPr>
      <w:r>
        <w:lastRenderedPageBreak/>
        <w:t>6.  3b.    Comments?</w:t>
      </w:r>
    </w:p>
    <w:tbl>
      <w:tblPr>
        <w:tblStyle w:val="QTable"/>
        <w:tblW w:w="9576" w:type="auto"/>
        <w:tblLook w:val="04A0" w:firstRow="1" w:lastRow="0" w:firstColumn="1" w:lastColumn="0" w:noHBand="0" w:noVBand="1"/>
      </w:tblPr>
      <w:tblGrid>
        <w:gridCol w:w="9576"/>
      </w:tblGrid>
      <w:tr w:rsidR="00BA4121">
        <w:tc>
          <w:tcPr>
            <w:tcW w:w="9576" w:type="dxa"/>
            <w:shd w:val="clear" w:color="auto" w:fill="58595B"/>
          </w:tcPr>
          <w:p w:rsidR="00BA4121" w:rsidRDefault="00255786">
            <w:pPr>
              <w:pStyle w:val="WhiteText"/>
              <w:keepNext/>
            </w:pPr>
            <w:r>
              <w:t>Text Response</w:t>
            </w:r>
          </w:p>
        </w:tc>
      </w:tr>
      <w:tr w:rsidR="00BA4121">
        <w:tc>
          <w:tcPr>
            <w:tcW w:w="9576" w:type="dxa"/>
            <w:shd w:val="clear" w:color="auto" w:fill="FEFBE7"/>
          </w:tcPr>
          <w:p w:rsidR="00BA4121" w:rsidRDefault="00255786">
            <w:pPr>
              <w:keepNext/>
            </w:pPr>
            <w:r>
              <w:t xml:space="preserve">We do not have a dedicated ILL person, and the </w:t>
            </w:r>
            <w:r>
              <w:t>one-day expiration would be harder to handle.</w:t>
            </w:r>
          </w:p>
        </w:tc>
      </w:tr>
      <w:tr w:rsidR="00BA4121">
        <w:tc>
          <w:tcPr>
            <w:tcW w:w="9576" w:type="dxa"/>
          </w:tcPr>
          <w:p w:rsidR="00BA4121" w:rsidRDefault="00255786">
            <w:pPr>
              <w:keepNext/>
            </w:pPr>
            <w:r>
              <w:t>Staff is capable and routinely tries to fulfill request as soon as possible.</w:t>
            </w:r>
          </w:p>
        </w:tc>
      </w:tr>
      <w:tr w:rsidR="00BA4121">
        <w:tc>
          <w:tcPr>
            <w:tcW w:w="9576" w:type="dxa"/>
            <w:shd w:val="clear" w:color="auto" w:fill="FEFBE7"/>
          </w:tcPr>
          <w:p w:rsidR="00BA4121" w:rsidRDefault="00255786">
            <w:pPr>
              <w:keepNext/>
            </w:pPr>
            <w:r>
              <w:t>This is a high priority *policy* decision that might be taken to Members Council. I cannot understand how libraries can be open and</w:t>
            </w:r>
            <w:r>
              <w:t xml:space="preserve"> operate in circulation but not cross-train staff to check the ILS ILL module.</w:t>
            </w:r>
          </w:p>
        </w:tc>
      </w:tr>
      <w:tr w:rsidR="00BA4121">
        <w:tc>
          <w:tcPr>
            <w:tcW w:w="9576" w:type="dxa"/>
          </w:tcPr>
          <w:p w:rsidR="00BA4121" w:rsidRDefault="00255786">
            <w:pPr>
              <w:keepNext/>
            </w:pPr>
            <w:r>
              <w:t>Three business days to reply to a request is a must.</w:t>
            </w:r>
          </w:p>
        </w:tc>
      </w:tr>
      <w:tr w:rsidR="00BA4121">
        <w:tc>
          <w:tcPr>
            <w:tcW w:w="9576" w:type="dxa"/>
            <w:shd w:val="clear" w:color="auto" w:fill="FEFBE7"/>
          </w:tcPr>
          <w:p w:rsidR="00BA4121" w:rsidRDefault="00255786">
            <w:pPr>
              <w:keepNext/>
            </w:pPr>
            <w:r>
              <w:t>Three day expiration will delay processing of patron requests, but two days provides reasonable time for the institution t</w:t>
            </w:r>
            <w:r>
              <w:t>o respond.</w:t>
            </w:r>
          </w:p>
        </w:tc>
      </w:tr>
      <w:tr w:rsidR="00BA4121">
        <w:tc>
          <w:tcPr>
            <w:tcW w:w="9576" w:type="dxa"/>
          </w:tcPr>
          <w:p w:rsidR="00BA4121" w:rsidRDefault="00255786">
            <w:pPr>
              <w:keepNext/>
            </w:pPr>
            <w:r>
              <w:t>Responses again were mixed.  One staff person felt that ILLs were checked daily, but others wanted to allow for leeway in case each campus did not have a back-up ILL person.</w:t>
            </w:r>
          </w:p>
        </w:tc>
      </w:tr>
      <w:tr w:rsidR="00BA4121">
        <w:tc>
          <w:tcPr>
            <w:tcW w:w="9576" w:type="dxa"/>
            <w:shd w:val="clear" w:color="auto" w:fill="FEFBE7"/>
          </w:tcPr>
          <w:p w:rsidR="00BA4121" w:rsidRDefault="00255786">
            <w:pPr>
              <w:keepNext/>
            </w:pPr>
            <w:r>
              <w:t xml:space="preserve">NWFSC (small library) does check the ILL module every business day, </w:t>
            </w:r>
            <w:r>
              <w:t>but the courier comes only 2 times per week. Changing the courier to 5 days has more of an impact on this one than when we check the ILL module!</w:t>
            </w:r>
          </w:p>
        </w:tc>
      </w:tr>
      <w:tr w:rsidR="00BA4121">
        <w:tc>
          <w:tcPr>
            <w:tcW w:w="9576" w:type="dxa"/>
          </w:tcPr>
          <w:p w:rsidR="00BA4121" w:rsidRDefault="00255786">
            <w:pPr>
              <w:keepNext/>
            </w:pPr>
            <w:r>
              <w:t>B. Yes, we have the staff to check the Aleph ILL module every business day and move to one day expiration.</w:t>
            </w:r>
          </w:p>
        </w:tc>
      </w:tr>
      <w:tr w:rsidR="00BA4121">
        <w:tc>
          <w:tcPr>
            <w:tcW w:w="9576" w:type="dxa"/>
            <w:shd w:val="clear" w:color="auto" w:fill="FEFBE7"/>
          </w:tcPr>
          <w:p w:rsidR="00BA4121" w:rsidRDefault="00255786">
            <w:pPr>
              <w:keepNext/>
            </w:pPr>
            <w:r>
              <w:t>Mo</w:t>
            </w:r>
            <w:r>
              <w:t xml:space="preserve">st of the time our staff monitors ILL activity and responds daily.  Unfortunately since this is a one person job (not a "unit") this is not always possible.  We would prefer the 3-day window so that we have the extra time if needed.  Also, with unmediated </w:t>
            </w:r>
            <w:r>
              <w:t>statewide borrowing in place now for many years, many colleges check other college holdings before purchasing items.  This means that there could be fewer holdings - or possible lenders - and we'd hate for an item to go unfilled just because the one librar</w:t>
            </w:r>
            <w:r>
              <w:t>y that has it couldn't respond within 24 hours.</w:t>
            </w:r>
          </w:p>
        </w:tc>
      </w:tr>
    </w:tbl>
    <w:p w:rsidR="00BA4121" w:rsidRDefault="00BA4121"/>
    <w:tbl>
      <w:tblPr>
        <w:tblStyle w:val="QTable"/>
        <w:tblW w:w="9576" w:type="auto"/>
        <w:tblLook w:val="04A0" w:firstRow="1" w:lastRow="0" w:firstColumn="1" w:lastColumn="0" w:noHBand="0" w:noVBand="1"/>
      </w:tblPr>
      <w:tblGrid>
        <w:gridCol w:w="4788"/>
        <w:gridCol w:w="4788"/>
      </w:tblGrid>
      <w:tr w:rsidR="00BA4121">
        <w:tc>
          <w:tcPr>
            <w:tcW w:w="4788" w:type="dxa"/>
            <w:shd w:val="clear" w:color="auto" w:fill="58595B"/>
          </w:tcPr>
          <w:p w:rsidR="00BA4121" w:rsidRDefault="00255786">
            <w:pPr>
              <w:pStyle w:val="WhiteText"/>
              <w:keepNext/>
            </w:pPr>
            <w:r>
              <w:t>Statistic</w:t>
            </w:r>
          </w:p>
        </w:tc>
        <w:tc>
          <w:tcPr>
            <w:tcW w:w="4788" w:type="dxa"/>
            <w:shd w:val="clear" w:color="auto" w:fill="58595B"/>
          </w:tcPr>
          <w:p w:rsidR="00BA4121" w:rsidRDefault="00255786">
            <w:pPr>
              <w:pStyle w:val="WhiteText"/>
              <w:keepNext/>
              <w:jc w:val="right"/>
            </w:pPr>
            <w:r>
              <w:t>Value</w:t>
            </w:r>
          </w:p>
        </w:tc>
      </w:tr>
      <w:tr w:rsidR="00BA4121">
        <w:tc>
          <w:tcPr>
            <w:tcW w:w="4788" w:type="dxa"/>
            <w:shd w:val="clear" w:color="auto" w:fill="FEFBE7"/>
          </w:tcPr>
          <w:p w:rsidR="00BA4121" w:rsidRDefault="00255786">
            <w:pPr>
              <w:keepNext/>
            </w:pPr>
            <w:r>
              <w:t>Total Responses</w:t>
            </w:r>
          </w:p>
        </w:tc>
        <w:tc>
          <w:tcPr>
            <w:tcW w:w="4788" w:type="dxa"/>
            <w:shd w:val="clear" w:color="auto" w:fill="FEFBE7"/>
          </w:tcPr>
          <w:p w:rsidR="00BA4121" w:rsidRDefault="00255786">
            <w:pPr>
              <w:keepNext/>
              <w:jc w:val="right"/>
            </w:pPr>
            <w:r>
              <w:t>9</w:t>
            </w:r>
          </w:p>
        </w:tc>
      </w:tr>
    </w:tbl>
    <w:p w:rsidR="00255786" w:rsidRDefault="00255786"/>
    <w:p w:rsidR="00255786" w:rsidRDefault="00255786">
      <w:r>
        <w:br w:type="page"/>
      </w:r>
    </w:p>
    <w:p w:rsidR="00BA4121" w:rsidRDefault="00BA4121">
      <w:bookmarkStart w:id="0" w:name="_GoBack"/>
      <w:bookmarkEnd w:id="0"/>
    </w:p>
    <w:p w:rsidR="00BA4121" w:rsidRDefault="00255786">
      <w:pPr>
        <w:pStyle w:val="QLabel"/>
        <w:keepNext/>
      </w:pPr>
      <w:r>
        <w:t>7.  4a.    Can your institution decide not to charge a borrowing library for lost Aleph ILL items?</w:t>
      </w:r>
    </w:p>
    <w:tbl>
      <w:tblPr>
        <w:tblStyle w:val="QTable"/>
        <w:tblW w:w="9576" w:type="auto"/>
        <w:tblLook w:val="04E0" w:firstRow="1" w:lastRow="1" w:firstColumn="1" w:lastColumn="0" w:noHBand="0" w:noVBand="1"/>
      </w:tblPr>
      <w:tblGrid>
        <w:gridCol w:w="1283"/>
        <w:gridCol w:w="1624"/>
        <w:gridCol w:w="3588"/>
        <w:gridCol w:w="1634"/>
        <w:gridCol w:w="1461"/>
      </w:tblGrid>
      <w:tr w:rsidR="00BA4121">
        <w:tc>
          <w:tcPr>
            <w:tcW w:w="1915" w:type="dxa"/>
            <w:shd w:val="clear" w:color="auto" w:fill="58595B"/>
          </w:tcPr>
          <w:p w:rsidR="00BA4121" w:rsidRDefault="00255786">
            <w:pPr>
              <w:pStyle w:val="WhiteText"/>
              <w:keepNext/>
              <w:jc w:val="center"/>
            </w:pPr>
            <w:r>
              <w:t>#</w:t>
            </w:r>
          </w:p>
        </w:tc>
        <w:tc>
          <w:tcPr>
            <w:tcW w:w="1915" w:type="dxa"/>
            <w:shd w:val="clear" w:color="auto" w:fill="58595B"/>
          </w:tcPr>
          <w:p w:rsidR="00BA4121" w:rsidRDefault="00255786">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BA4121" w:rsidTr="00BA4121">
              <w:tc>
                <w:tcPr>
                  <w:cnfStyle w:val="001000000000" w:firstRow="0" w:lastRow="0" w:firstColumn="1" w:lastColumn="0" w:oddVBand="0" w:evenVBand="0" w:oddHBand="0" w:evenHBand="0" w:firstRowFirstColumn="0" w:firstRowLastColumn="0" w:lastRowFirstColumn="0" w:lastRowLastColumn="0"/>
                  <w:tcW w:w="0" w:type="dxa"/>
                </w:tcPr>
                <w:p w:rsidR="00BA4121" w:rsidRDefault="00BA4121">
                  <w:pPr>
                    <w:pStyle w:val="WhiteText"/>
                    <w:rPr>
                      <w:szCs w:val="14"/>
                    </w:rPr>
                  </w:pPr>
                </w:p>
              </w:tc>
              <w:tc>
                <w:tcPr>
                  <w:tcW w:w="3578" w:type="dxa"/>
                </w:tcPr>
                <w:p w:rsidR="00BA4121" w:rsidRDefault="00BA4121">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A4121" w:rsidRDefault="00BA4121"/>
        </w:tc>
        <w:tc>
          <w:tcPr>
            <w:tcW w:w="1915" w:type="dxa"/>
            <w:shd w:val="clear" w:color="auto" w:fill="58595B"/>
          </w:tcPr>
          <w:p w:rsidR="00BA4121" w:rsidRDefault="00255786">
            <w:pPr>
              <w:pStyle w:val="WhiteText"/>
              <w:keepNext/>
              <w:jc w:val="center"/>
            </w:pPr>
            <w:r>
              <w:t>Response</w:t>
            </w:r>
          </w:p>
        </w:tc>
        <w:tc>
          <w:tcPr>
            <w:tcW w:w="1915" w:type="dxa"/>
            <w:shd w:val="clear" w:color="auto" w:fill="58595B"/>
          </w:tcPr>
          <w:p w:rsidR="00BA4121" w:rsidRDefault="00255786">
            <w:pPr>
              <w:pStyle w:val="WhiteText"/>
              <w:keepNext/>
              <w:jc w:val="center"/>
            </w:pPr>
            <w:r>
              <w:t>%</w:t>
            </w:r>
          </w:p>
        </w:tc>
      </w:tr>
      <w:tr w:rsidR="00BA4121">
        <w:tc>
          <w:tcPr>
            <w:tcW w:w="1915" w:type="dxa"/>
            <w:shd w:val="clear" w:color="auto" w:fill="FEFBE7"/>
          </w:tcPr>
          <w:p w:rsidR="00BA4121" w:rsidRDefault="00255786">
            <w:pPr>
              <w:keepNext/>
              <w:jc w:val="center"/>
            </w:pPr>
            <w:r>
              <w:t>1</w:t>
            </w:r>
          </w:p>
        </w:tc>
        <w:tc>
          <w:tcPr>
            <w:tcW w:w="1915" w:type="dxa"/>
            <w:shd w:val="clear" w:color="auto" w:fill="FEFBE7"/>
          </w:tcPr>
          <w:p w:rsidR="00BA4121" w:rsidRDefault="00255786">
            <w:pPr>
              <w:keepNext/>
            </w:pPr>
            <w:r>
              <w:t xml:space="preserve">Yes, we can stop charging the borrowing </w:t>
            </w:r>
            <w:r>
              <w:t>library for lost Aleph ILL items.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38"/>
              <w:gridCol w:w="2440"/>
            </w:tblGrid>
            <w:tr w:rsidR="00BA4121" w:rsidTr="00BA4121">
              <w:tc>
                <w:tcPr>
                  <w:cnfStyle w:val="001000000000" w:firstRow="0" w:lastRow="0" w:firstColumn="1" w:lastColumn="0" w:oddVBand="0" w:evenVBand="0" w:oddHBand="0" w:evenHBand="0" w:firstRowFirstColumn="0" w:firstRowLastColumn="0" w:lastRowFirstColumn="0" w:lastRowLastColumn="0"/>
                  <w:tcW w:w="1138" w:type="dxa"/>
                </w:tcPr>
                <w:p w:rsidR="00BA4121" w:rsidRDefault="00BA4121">
                  <w:pPr>
                    <w:pStyle w:val="WhiteText"/>
                    <w:rPr>
                      <w:szCs w:val="14"/>
                    </w:rPr>
                  </w:pPr>
                </w:p>
              </w:tc>
              <w:tc>
                <w:tcPr>
                  <w:tcW w:w="2440" w:type="dxa"/>
                </w:tcPr>
                <w:p w:rsidR="00BA4121" w:rsidRDefault="00BA4121">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A4121" w:rsidRDefault="00BA4121"/>
        </w:tc>
        <w:tc>
          <w:tcPr>
            <w:tcW w:w="1915" w:type="dxa"/>
            <w:shd w:val="clear" w:color="auto" w:fill="FEFBE7"/>
          </w:tcPr>
          <w:p w:rsidR="00BA4121" w:rsidRDefault="00255786">
            <w:pPr>
              <w:keepNext/>
              <w:jc w:val="center"/>
            </w:pPr>
            <w:r>
              <w:t>7</w:t>
            </w:r>
          </w:p>
        </w:tc>
        <w:tc>
          <w:tcPr>
            <w:tcW w:w="1915" w:type="dxa"/>
            <w:shd w:val="clear" w:color="auto" w:fill="FEFBE7"/>
          </w:tcPr>
          <w:p w:rsidR="00BA4121" w:rsidRDefault="00255786">
            <w:pPr>
              <w:keepNext/>
              <w:jc w:val="center"/>
            </w:pPr>
            <w:r>
              <w:t>32%</w:t>
            </w:r>
          </w:p>
        </w:tc>
      </w:tr>
      <w:tr w:rsidR="00BA4121">
        <w:tc>
          <w:tcPr>
            <w:tcW w:w="1915" w:type="dxa"/>
          </w:tcPr>
          <w:p w:rsidR="00BA4121" w:rsidRDefault="00255786">
            <w:pPr>
              <w:keepNext/>
              <w:jc w:val="center"/>
            </w:pPr>
            <w:r>
              <w:t>2</w:t>
            </w:r>
          </w:p>
        </w:tc>
        <w:tc>
          <w:tcPr>
            <w:tcW w:w="1915" w:type="dxa"/>
          </w:tcPr>
          <w:p w:rsidR="00BA4121" w:rsidRDefault="00255786">
            <w:pPr>
              <w:keepNext/>
            </w:pPr>
            <w:r>
              <w:t>No, we have to charge for lost items</w:t>
            </w:r>
          </w:p>
        </w:tc>
        <w:tc>
          <w:tcPr>
            <w:tcW w:w="3588" w:type="dxa"/>
            <w:noWrap/>
            <w:tcMar>
              <w:left w:w="0" w:type="dxa"/>
              <w:right w:w="0" w:type="dxa"/>
            </w:tcMar>
          </w:tcPr>
          <w:tbl>
            <w:tblPr>
              <w:tblStyle w:val="QBar"/>
              <w:tblW w:w="3578" w:type="auto"/>
              <w:tblLook w:val="04A0" w:firstRow="1" w:lastRow="0" w:firstColumn="1" w:lastColumn="0" w:noHBand="0" w:noVBand="1"/>
            </w:tblPr>
            <w:tblGrid>
              <w:gridCol w:w="2440"/>
              <w:gridCol w:w="1138"/>
            </w:tblGrid>
            <w:tr w:rsidR="00BA4121" w:rsidTr="00BA4121">
              <w:tc>
                <w:tcPr>
                  <w:cnfStyle w:val="001000000000" w:firstRow="0" w:lastRow="0" w:firstColumn="1" w:lastColumn="0" w:oddVBand="0" w:evenVBand="0" w:oddHBand="0" w:evenHBand="0" w:firstRowFirstColumn="0" w:firstRowLastColumn="0" w:lastRowFirstColumn="0" w:lastRowLastColumn="0"/>
                  <w:tcW w:w="2440" w:type="dxa"/>
                </w:tcPr>
                <w:p w:rsidR="00BA4121" w:rsidRDefault="00BA4121">
                  <w:pPr>
                    <w:pStyle w:val="WhiteText"/>
                    <w:rPr>
                      <w:szCs w:val="14"/>
                    </w:rPr>
                  </w:pPr>
                </w:p>
              </w:tc>
              <w:tc>
                <w:tcPr>
                  <w:tcW w:w="1138" w:type="dxa"/>
                </w:tcPr>
                <w:p w:rsidR="00BA4121" w:rsidRDefault="00BA4121">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A4121" w:rsidRDefault="00BA4121"/>
        </w:tc>
        <w:tc>
          <w:tcPr>
            <w:tcW w:w="1915" w:type="dxa"/>
          </w:tcPr>
          <w:p w:rsidR="00BA4121" w:rsidRDefault="00255786">
            <w:pPr>
              <w:keepNext/>
              <w:jc w:val="center"/>
            </w:pPr>
            <w:r>
              <w:t>15</w:t>
            </w:r>
          </w:p>
        </w:tc>
        <w:tc>
          <w:tcPr>
            <w:tcW w:w="1915" w:type="dxa"/>
          </w:tcPr>
          <w:p w:rsidR="00BA4121" w:rsidRDefault="00255786">
            <w:pPr>
              <w:keepNext/>
              <w:jc w:val="center"/>
            </w:pPr>
            <w:r>
              <w:t>68%</w:t>
            </w:r>
          </w:p>
        </w:tc>
      </w:tr>
      <w:tr w:rsidR="00BA4121">
        <w:tc>
          <w:tcPr>
            <w:tcW w:w="1915" w:type="dxa"/>
            <w:tcBorders>
              <w:top w:val="single" w:sz="4" w:space="0" w:color="969696"/>
            </w:tcBorders>
            <w:shd w:val="clear" w:color="auto" w:fill="FEFBE7"/>
          </w:tcPr>
          <w:p w:rsidR="00BA4121" w:rsidRDefault="00BA4121">
            <w:pPr>
              <w:keepNext/>
              <w:jc w:val="center"/>
            </w:pPr>
          </w:p>
        </w:tc>
        <w:tc>
          <w:tcPr>
            <w:tcW w:w="1915" w:type="dxa"/>
            <w:tcBorders>
              <w:top w:val="single" w:sz="4" w:space="0" w:color="969696"/>
            </w:tcBorders>
            <w:shd w:val="clear" w:color="auto" w:fill="FEFBE7"/>
          </w:tcPr>
          <w:p w:rsidR="00BA4121" w:rsidRDefault="00255786">
            <w:pPr>
              <w:keepNext/>
            </w:pPr>
            <w:r>
              <w:t>Total</w:t>
            </w:r>
          </w:p>
        </w:tc>
        <w:tc>
          <w:tcPr>
            <w:tcW w:w="3588" w:type="dxa"/>
            <w:tcBorders>
              <w:top w:val="single" w:sz="4" w:space="0" w:color="969696"/>
            </w:tcBorders>
            <w:shd w:val="clear" w:color="auto" w:fill="FEFBE7"/>
            <w:noWrap/>
            <w:tcMar>
              <w:left w:w="0" w:type="dxa"/>
              <w:right w:w="0" w:type="dxa"/>
            </w:tcMar>
          </w:tcPr>
          <w:p w:rsidR="00BA4121" w:rsidRDefault="00BA4121">
            <w:pPr>
              <w:pStyle w:val="WhiteText"/>
              <w:keepNext/>
            </w:pPr>
          </w:p>
        </w:tc>
        <w:tc>
          <w:tcPr>
            <w:tcW w:w="1915" w:type="dxa"/>
            <w:tcBorders>
              <w:top w:val="single" w:sz="4" w:space="0" w:color="969696"/>
            </w:tcBorders>
            <w:shd w:val="clear" w:color="auto" w:fill="FEFBE7"/>
          </w:tcPr>
          <w:p w:rsidR="00BA4121" w:rsidRDefault="00255786">
            <w:pPr>
              <w:keepNext/>
              <w:jc w:val="center"/>
            </w:pPr>
            <w:r>
              <w:t>22</w:t>
            </w:r>
          </w:p>
        </w:tc>
        <w:tc>
          <w:tcPr>
            <w:tcW w:w="1915" w:type="dxa"/>
            <w:tcBorders>
              <w:top w:val="single" w:sz="4" w:space="0" w:color="969696"/>
            </w:tcBorders>
            <w:shd w:val="clear" w:color="auto" w:fill="FEFBE7"/>
          </w:tcPr>
          <w:p w:rsidR="00BA4121" w:rsidRDefault="00255786">
            <w:pPr>
              <w:keepNext/>
              <w:jc w:val="center"/>
            </w:pPr>
            <w:r>
              <w:t>100%</w:t>
            </w:r>
          </w:p>
        </w:tc>
      </w:tr>
    </w:tbl>
    <w:p w:rsidR="00BA4121" w:rsidRDefault="00BA4121"/>
    <w:tbl>
      <w:tblPr>
        <w:tblStyle w:val="QTable"/>
        <w:tblW w:w="9576" w:type="auto"/>
        <w:tblLook w:val="04A0" w:firstRow="1" w:lastRow="0" w:firstColumn="1" w:lastColumn="0" w:noHBand="0" w:noVBand="1"/>
      </w:tblPr>
      <w:tblGrid>
        <w:gridCol w:w="4788"/>
        <w:gridCol w:w="4788"/>
      </w:tblGrid>
      <w:tr w:rsidR="00BA4121">
        <w:tc>
          <w:tcPr>
            <w:tcW w:w="4788" w:type="dxa"/>
            <w:shd w:val="clear" w:color="auto" w:fill="58595B"/>
          </w:tcPr>
          <w:p w:rsidR="00BA4121" w:rsidRDefault="00255786">
            <w:pPr>
              <w:pStyle w:val="WhiteText"/>
              <w:keepNext/>
            </w:pPr>
            <w:r>
              <w:t>Statistic</w:t>
            </w:r>
          </w:p>
        </w:tc>
        <w:tc>
          <w:tcPr>
            <w:tcW w:w="4788" w:type="dxa"/>
            <w:shd w:val="clear" w:color="auto" w:fill="58595B"/>
          </w:tcPr>
          <w:p w:rsidR="00BA4121" w:rsidRDefault="00255786">
            <w:pPr>
              <w:pStyle w:val="WhiteText"/>
              <w:keepNext/>
              <w:jc w:val="right"/>
            </w:pPr>
            <w:r>
              <w:t>Value</w:t>
            </w:r>
          </w:p>
        </w:tc>
      </w:tr>
      <w:tr w:rsidR="00BA4121">
        <w:tc>
          <w:tcPr>
            <w:tcW w:w="4788" w:type="dxa"/>
            <w:shd w:val="clear" w:color="auto" w:fill="FEFBE7"/>
          </w:tcPr>
          <w:p w:rsidR="00BA4121" w:rsidRDefault="00255786">
            <w:pPr>
              <w:keepNext/>
            </w:pPr>
            <w:r>
              <w:t>Min Value</w:t>
            </w:r>
          </w:p>
        </w:tc>
        <w:tc>
          <w:tcPr>
            <w:tcW w:w="4788" w:type="dxa"/>
            <w:shd w:val="clear" w:color="auto" w:fill="FEFBE7"/>
          </w:tcPr>
          <w:p w:rsidR="00BA4121" w:rsidRDefault="00255786">
            <w:pPr>
              <w:keepNext/>
              <w:jc w:val="right"/>
            </w:pPr>
            <w:r>
              <w:t>1</w:t>
            </w:r>
          </w:p>
        </w:tc>
      </w:tr>
      <w:tr w:rsidR="00BA4121">
        <w:tc>
          <w:tcPr>
            <w:tcW w:w="4788" w:type="dxa"/>
          </w:tcPr>
          <w:p w:rsidR="00BA4121" w:rsidRDefault="00255786">
            <w:pPr>
              <w:keepNext/>
            </w:pPr>
            <w:r>
              <w:t>Max Value</w:t>
            </w:r>
          </w:p>
        </w:tc>
        <w:tc>
          <w:tcPr>
            <w:tcW w:w="4788" w:type="dxa"/>
          </w:tcPr>
          <w:p w:rsidR="00BA4121" w:rsidRDefault="00255786">
            <w:pPr>
              <w:keepNext/>
              <w:jc w:val="right"/>
            </w:pPr>
            <w:r>
              <w:t>2</w:t>
            </w:r>
          </w:p>
        </w:tc>
      </w:tr>
      <w:tr w:rsidR="00BA4121">
        <w:tc>
          <w:tcPr>
            <w:tcW w:w="4788" w:type="dxa"/>
            <w:shd w:val="clear" w:color="auto" w:fill="FEFBE7"/>
          </w:tcPr>
          <w:p w:rsidR="00BA4121" w:rsidRDefault="00255786">
            <w:pPr>
              <w:keepNext/>
            </w:pPr>
            <w:r>
              <w:t>Mean</w:t>
            </w:r>
          </w:p>
        </w:tc>
        <w:tc>
          <w:tcPr>
            <w:tcW w:w="4788" w:type="dxa"/>
            <w:shd w:val="clear" w:color="auto" w:fill="FEFBE7"/>
          </w:tcPr>
          <w:p w:rsidR="00BA4121" w:rsidRDefault="00255786">
            <w:pPr>
              <w:keepNext/>
              <w:jc w:val="right"/>
            </w:pPr>
            <w:r>
              <w:t>1.68</w:t>
            </w:r>
          </w:p>
        </w:tc>
      </w:tr>
      <w:tr w:rsidR="00BA4121">
        <w:tc>
          <w:tcPr>
            <w:tcW w:w="4788" w:type="dxa"/>
          </w:tcPr>
          <w:p w:rsidR="00BA4121" w:rsidRDefault="00255786">
            <w:pPr>
              <w:keepNext/>
            </w:pPr>
            <w:r>
              <w:t>Variance</w:t>
            </w:r>
          </w:p>
        </w:tc>
        <w:tc>
          <w:tcPr>
            <w:tcW w:w="4788" w:type="dxa"/>
          </w:tcPr>
          <w:p w:rsidR="00BA4121" w:rsidRDefault="00255786">
            <w:pPr>
              <w:keepNext/>
              <w:jc w:val="right"/>
            </w:pPr>
            <w:r>
              <w:t>0.23</w:t>
            </w:r>
          </w:p>
        </w:tc>
      </w:tr>
      <w:tr w:rsidR="00BA4121">
        <w:tc>
          <w:tcPr>
            <w:tcW w:w="4788" w:type="dxa"/>
            <w:shd w:val="clear" w:color="auto" w:fill="FEFBE7"/>
          </w:tcPr>
          <w:p w:rsidR="00BA4121" w:rsidRDefault="00255786">
            <w:pPr>
              <w:keepNext/>
            </w:pPr>
            <w:r>
              <w:t>Standard Deviation</w:t>
            </w:r>
          </w:p>
        </w:tc>
        <w:tc>
          <w:tcPr>
            <w:tcW w:w="4788" w:type="dxa"/>
            <w:shd w:val="clear" w:color="auto" w:fill="FEFBE7"/>
          </w:tcPr>
          <w:p w:rsidR="00BA4121" w:rsidRDefault="00255786">
            <w:pPr>
              <w:keepNext/>
              <w:jc w:val="right"/>
            </w:pPr>
            <w:r>
              <w:t>0.48</w:t>
            </w:r>
          </w:p>
        </w:tc>
      </w:tr>
      <w:tr w:rsidR="00BA4121">
        <w:tc>
          <w:tcPr>
            <w:tcW w:w="4788" w:type="dxa"/>
          </w:tcPr>
          <w:p w:rsidR="00BA4121" w:rsidRDefault="00255786">
            <w:pPr>
              <w:keepNext/>
            </w:pPr>
            <w:r>
              <w:t>Total Responses</w:t>
            </w:r>
          </w:p>
        </w:tc>
        <w:tc>
          <w:tcPr>
            <w:tcW w:w="4788" w:type="dxa"/>
          </w:tcPr>
          <w:p w:rsidR="00BA4121" w:rsidRDefault="00255786">
            <w:pPr>
              <w:keepNext/>
              <w:jc w:val="right"/>
            </w:pPr>
            <w:r>
              <w:t>22</w:t>
            </w:r>
          </w:p>
        </w:tc>
      </w:tr>
    </w:tbl>
    <w:p w:rsidR="00BA4121" w:rsidRDefault="00BA4121"/>
    <w:p w:rsidR="00BA4121" w:rsidRDefault="00255786">
      <w:pPr>
        <w:pStyle w:val="QLabel"/>
        <w:keepNext/>
      </w:pPr>
      <w:r>
        <w:lastRenderedPageBreak/>
        <w:t>8.  4b.    Comments?</w:t>
      </w:r>
    </w:p>
    <w:tbl>
      <w:tblPr>
        <w:tblStyle w:val="QTable"/>
        <w:tblW w:w="9576" w:type="auto"/>
        <w:tblLook w:val="04A0" w:firstRow="1" w:lastRow="0" w:firstColumn="1" w:lastColumn="0" w:noHBand="0" w:noVBand="1"/>
      </w:tblPr>
      <w:tblGrid>
        <w:gridCol w:w="9576"/>
      </w:tblGrid>
      <w:tr w:rsidR="00BA4121">
        <w:tc>
          <w:tcPr>
            <w:tcW w:w="9576" w:type="dxa"/>
            <w:shd w:val="clear" w:color="auto" w:fill="58595B"/>
          </w:tcPr>
          <w:p w:rsidR="00BA4121" w:rsidRDefault="00255786">
            <w:pPr>
              <w:pStyle w:val="WhiteText"/>
              <w:keepNext/>
            </w:pPr>
            <w:r>
              <w:t xml:space="preserve">Text </w:t>
            </w:r>
            <w:r>
              <w:t>Response</w:t>
            </w:r>
          </w:p>
        </w:tc>
      </w:tr>
      <w:tr w:rsidR="00BA4121">
        <w:tc>
          <w:tcPr>
            <w:tcW w:w="9576" w:type="dxa"/>
            <w:shd w:val="clear" w:color="auto" w:fill="FEFBE7"/>
          </w:tcPr>
          <w:p w:rsidR="00BA4121" w:rsidRDefault="00255786">
            <w:pPr>
              <w:keepNext/>
            </w:pPr>
            <w:r>
              <w:t>We rarely have issues with our ILL items, and we can charge for items at our own discretion.</w:t>
            </w:r>
          </w:p>
        </w:tc>
      </w:tr>
      <w:tr w:rsidR="00BA4121">
        <w:tc>
          <w:tcPr>
            <w:tcW w:w="9576" w:type="dxa"/>
          </w:tcPr>
          <w:p w:rsidR="00BA4121" w:rsidRDefault="00255786">
            <w:pPr>
              <w:keepNext/>
            </w:pPr>
            <w:r>
              <w:t>Board rules require that we charge for lost items. We are a small institution and cannot afford to replace lost items.</w:t>
            </w:r>
          </w:p>
        </w:tc>
      </w:tr>
      <w:tr w:rsidR="00BA4121">
        <w:tc>
          <w:tcPr>
            <w:tcW w:w="9576" w:type="dxa"/>
            <w:shd w:val="clear" w:color="auto" w:fill="FEFBE7"/>
          </w:tcPr>
          <w:p w:rsidR="00BA4121" w:rsidRDefault="00255786">
            <w:pPr>
              <w:keepNext/>
            </w:pPr>
            <w:r>
              <w:t xml:space="preserve">Our collection is small and our </w:t>
            </w:r>
            <w:r>
              <w:t>materials budget is one of the worst in the state. If no one paid for lost items, students at other institutions could just keep our materials and we wouldn't be able to replace them for our own students. I would like to know how well this policy is workin</w:t>
            </w:r>
            <w:r>
              <w:t>g for the universities.</w:t>
            </w:r>
          </w:p>
        </w:tc>
      </w:tr>
      <w:tr w:rsidR="00BA4121">
        <w:tc>
          <w:tcPr>
            <w:tcW w:w="9576" w:type="dxa"/>
          </w:tcPr>
          <w:p w:rsidR="00BA4121" w:rsidRDefault="00255786">
            <w:pPr>
              <w:keepNext/>
            </w:pPr>
            <w:r>
              <w:t>We accept a replacement from borrowing library.</w:t>
            </w:r>
          </w:p>
        </w:tc>
      </w:tr>
      <w:tr w:rsidR="00BA4121">
        <w:tc>
          <w:tcPr>
            <w:tcW w:w="9576" w:type="dxa"/>
            <w:shd w:val="clear" w:color="auto" w:fill="FEFBE7"/>
          </w:tcPr>
          <w:p w:rsidR="00BA4121" w:rsidRDefault="00255786">
            <w:pPr>
              <w:keepNext/>
            </w:pPr>
            <w:r>
              <w:t xml:space="preserve">Funds collected are used to </w:t>
            </w:r>
            <w:proofErr w:type="spellStart"/>
            <w:r>
              <w:t>replae</w:t>
            </w:r>
            <w:proofErr w:type="spellEnd"/>
            <w:r>
              <w:t xml:space="preserve"> the lost item.</w:t>
            </w:r>
          </w:p>
        </w:tc>
      </w:tr>
      <w:tr w:rsidR="00BA4121">
        <w:tc>
          <w:tcPr>
            <w:tcW w:w="9576" w:type="dxa"/>
          </w:tcPr>
          <w:p w:rsidR="00BA4121" w:rsidRDefault="00255786">
            <w:pPr>
              <w:keepNext/>
            </w:pPr>
            <w:r>
              <w:t>One campus noted that we may not have to charge, but we prefer to charge.  Another campus noted that unlike larger schools, a singl</w:t>
            </w:r>
            <w:r>
              <w:t>e lost item can have a significant impact on its collection - say, a high ticket veterinary tech book or the only copy of a popular YA book like the Hunger Games.</w:t>
            </w:r>
          </w:p>
        </w:tc>
      </w:tr>
      <w:tr w:rsidR="00BA4121">
        <w:tc>
          <w:tcPr>
            <w:tcW w:w="9576" w:type="dxa"/>
            <w:shd w:val="clear" w:color="auto" w:fill="FEFBE7"/>
          </w:tcPr>
          <w:p w:rsidR="00BA4121" w:rsidRDefault="00255786">
            <w:pPr>
              <w:keepNext/>
            </w:pPr>
            <w:r>
              <w:t xml:space="preserve">Our business office was unable to determine from an auditing standpoint whether we need to </w:t>
            </w:r>
            <w:r>
              <w:t>charge. We have historically had very few lost items. It may not be worth the time it takes to bill and process the payment.</w:t>
            </w:r>
          </w:p>
        </w:tc>
      </w:tr>
      <w:tr w:rsidR="00BA4121">
        <w:tc>
          <w:tcPr>
            <w:tcW w:w="9576" w:type="dxa"/>
          </w:tcPr>
          <w:p w:rsidR="00BA4121" w:rsidRDefault="00255786">
            <w:pPr>
              <w:keepNext/>
            </w:pPr>
            <w:r>
              <w:t>I am not entirely sure, to stop charging would have to be approved by our Board of Trustees and I am not sure how they would vote.</w:t>
            </w:r>
            <w:r>
              <w:t xml:space="preserve">  Also of note is that in the past when there was not a funds or book recovery mechanism then what was allowed to leave the college got more restricted. The list of things that are "too valuable to lose" can be longer when "if it is gone - it can't be repl</w:t>
            </w:r>
            <w:r>
              <w:t>aced" comes into play.</w:t>
            </w:r>
          </w:p>
        </w:tc>
      </w:tr>
      <w:tr w:rsidR="00BA4121">
        <w:tc>
          <w:tcPr>
            <w:tcW w:w="9576" w:type="dxa"/>
            <w:shd w:val="clear" w:color="auto" w:fill="FEFBE7"/>
          </w:tcPr>
          <w:p w:rsidR="00BA4121" w:rsidRDefault="00255786">
            <w:pPr>
              <w:keepNext/>
            </w:pPr>
            <w:r>
              <w:t>A. No, we have to charge for lost items. ( changes would have to go through the Board of Trustees of the College) Payment for lost items goes back to general fund, and not directly to library for replacement. Attempts to add the amo</w:t>
            </w:r>
            <w:r>
              <w:t xml:space="preserve">unt collected above the amount designated in the next </w:t>
            </w:r>
            <w:proofErr w:type="spellStart"/>
            <w:r>
              <w:t>years</w:t>
            </w:r>
            <w:proofErr w:type="spellEnd"/>
            <w:r>
              <w:t xml:space="preserve"> budget has not been successful. Doing away with charges is no loss to library, but would be revenue loss to college.</w:t>
            </w:r>
          </w:p>
        </w:tc>
      </w:tr>
      <w:tr w:rsidR="00BA4121">
        <w:tc>
          <w:tcPr>
            <w:tcW w:w="9576" w:type="dxa"/>
          </w:tcPr>
          <w:p w:rsidR="00BA4121" w:rsidRDefault="00255786">
            <w:pPr>
              <w:keepNext/>
            </w:pPr>
            <w:r>
              <w:t xml:space="preserve">Yes, however we may be tempted to stop lending to institutions </w:t>
            </w:r>
            <w:proofErr w:type="spellStart"/>
            <w:r>
              <w:t>whith</w:t>
            </w:r>
            <w:proofErr w:type="spellEnd"/>
            <w:r>
              <w:t xml:space="preserve"> frequent </w:t>
            </w:r>
            <w:r>
              <w:t xml:space="preserve">delinquencies - which goes </w:t>
            </w:r>
            <w:proofErr w:type="spellStart"/>
            <w:r>
              <w:t>agains</w:t>
            </w:r>
            <w:proofErr w:type="spellEnd"/>
            <w:r>
              <w:t xml:space="preserve"> </w:t>
            </w:r>
            <w:proofErr w:type="gramStart"/>
            <w:r>
              <w:t>your</w:t>
            </w:r>
            <w:proofErr w:type="gramEnd"/>
            <w:r>
              <w:t xml:space="preserve"> new Resource Sharing Guidelines.  Also, we'll have to check with our Business Office to make sure that this kind of forgiveness of </w:t>
            </w:r>
            <w:proofErr w:type="spellStart"/>
            <w:r>
              <w:t>dept</w:t>
            </w:r>
            <w:proofErr w:type="spellEnd"/>
            <w:r>
              <w:t xml:space="preserve"> is allowable.</w:t>
            </w:r>
          </w:p>
        </w:tc>
      </w:tr>
      <w:tr w:rsidR="00BA4121">
        <w:tc>
          <w:tcPr>
            <w:tcW w:w="9576" w:type="dxa"/>
            <w:shd w:val="clear" w:color="auto" w:fill="FEFBE7"/>
          </w:tcPr>
          <w:p w:rsidR="00BA4121" w:rsidRDefault="00255786">
            <w:pPr>
              <w:keepNext/>
            </w:pPr>
            <w:r>
              <w:t>We'd be willing to look at this.  It's certainly an intriguing ide</w:t>
            </w:r>
            <w:r>
              <w:t xml:space="preserve">a.  I'd be interested </w:t>
            </w:r>
            <w:proofErr w:type="spellStart"/>
            <w:r>
              <w:t>inthe</w:t>
            </w:r>
            <w:proofErr w:type="spellEnd"/>
            <w:r>
              <w:t xml:space="preserve"> results of the long-term equity study</w:t>
            </w:r>
          </w:p>
        </w:tc>
      </w:tr>
    </w:tbl>
    <w:p w:rsidR="00BA4121" w:rsidRDefault="00BA4121"/>
    <w:tbl>
      <w:tblPr>
        <w:tblStyle w:val="QTable"/>
        <w:tblW w:w="9576" w:type="auto"/>
        <w:tblLook w:val="04A0" w:firstRow="1" w:lastRow="0" w:firstColumn="1" w:lastColumn="0" w:noHBand="0" w:noVBand="1"/>
      </w:tblPr>
      <w:tblGrid>
        <w:gridCol w:w="4788"/>
        <w:gridCol w:w="4788"/>
      </w:tblGrid>
      <w:tr w:rsidR="00BA4121">
        <w:tc>
          <w:tcPr>
            <w:tcW w:w="4788" w:type="dxa"/>
            <w:shd w:val="clear" w:color="auto" w:fill="58595B"/>
          </w:tcPr>
          <w:p w:rsidR="00BA4121" w:rsidRDefault="00255786">
            <w:pPr>
              <w:pStyle w:val="WhiteText"/>
              <w:keepNext/>
            </w:pPr>
            <w:r>
              <w:t>Statistic</w:t>
            </w:r>
          </w:p>
        </w:tc>
        <w:tc>
          <w:tcPr>
            <w:tcW w:w="4788" w:type="dxa"/>
            <w:shd w:val="clear" w:color="auto" w:fill="58595B"/>
          </w:tcPr>
          <w:p w:rsidR="00BA4121" w:rsidRDefault="00255786">
            <w:pPr>
              <w:pStyle w:val="WhiteText"/>
              <w:keepNext/>
              <w:jc w:val="right"/>
            </w:pPr>
            <w:r>
              <w:t>Value</w:t>
            </w:r>
          </w:p>
        </w:tc>
      </w:tr>
      <w:tr w:rsidR="00BA4121">
        <w:tc>
          <w:tcPr>
            <w:tcW w:w="4788" w:type="dxa"/>
            <w:shd w:val="clear" w:color="auto" w:fill="FEFBE7"/>
          </w:tcPr>
          <w:p w:rsidR="00BA4121" w:rsidRDefault="00255786">
            <w:pPr>
              <w:keepNext/>
            </w:pPr>
            <w:r>
              <w:t>Total Responses</w:t>
            </w:r>
          </w:p>
        </w:tc>
        <w:tc>
          <w:tcPr>
            <w:tcW w:w="4788" w:type="dxa"/>
            <w:shd w:val="clear" w:color="auto" w:fill="FEFBE7"/>
          </w:tcPr>
          <w:p w:rsidR="00BA4121" w:rsidRDefault="00255786">
            <w:pPr>
              <w:keepNext/>
              <w:jc w:val="right"/>
            </w:pPr>
            <w:r>
              <w:t>11</w:t>
            </w:r>
          </w:p>
        </w:tc>
      </w:tr>
    </w:tbl>
    <w:p w:rsidR="00BA4121" w:rsidRDefault="00BA4121"/>
    <w:p w:rsidR="00BA4121" w:rsidRDefault="00255786">
      <w:pPr>
        <w:pStyle w:val="QLabel"/>
        <w:keepNext/>
      </w:pPr>
      <w:r>
        <w:lastRenderedPageBreak/>
        <w:t>9.  5.    Please enter your name and institution.</w:t>
      </w:r>
    </w:p>
    <w:tbl>
      <w:tblPr>
        <w:tblStyle w:val="QTable"/>
        <w:tblW w:w="9576" w:type="auto"/>
        <w:tblLook w:val="04A0" w:firstRow="1" w:lastRow="0" w:firstColumn="1" w:lastColumn="0" w:noHBand="0" w:noVBand="1"/>
      </w:tblPr>
      <w:tblGrid>
        <w:gridCol w:w="9576"/>
      </w:tblGrid>
      <w:tr w:rsidR="00BA4121">
        <w:tc>
          <w:tcPr>
            <w:tcW w:w="9576" w:type="dxa"/>
            <w:shd w:val="clear" w:color="auto" w:fill="58595B"/>
          </w:tcPr>
          <w:p w:rsidR="00BA4121" w:rsidRDefault="00255786">
            <w:pPr>
              <w:pStyle w:val="WhiteText"/>
              <w:keepNext/>
            </w:pPr>
            <w:r>
              <w:t>Text Response</w:t>
            </w:r>
          </w:p>
        </w:tc>
      </w:tr>
      <w:tr w:rsidR="00BA4121">
        <w:tc>
          <w:tcPr>
            <w:tcW w:w="9576" w:type="dxa"/>
            <w:shd w:val="clear" w:color="auto" w:fill="FEFBE7"/>
          </w:tcPr>
          <w:p w:rsidR="00BA4121" w:rsidRDefault="00255786">
            <w:pPr>
              <w:keepNext/>
            </w:pPr>
            <w:r>
              <w:t xml:space="preserve">Patricia </w:t>
            </w:r>
            <w:proofErr w:type="spellStart"/>
            <w:r>
              <w:t>Profeta</w:t>
            </w:r>
            <w:proofErr w:type="spellEnd"/>
            <w:r>
              <w:t>, Indian River State College</w:t>
            </w:r>
          </w:p>
        </w:tc>
      </w:tr>
      <w:tr w:rsidR="00BA4121">
        <w:tc>
          <w:tcPr>
            <w:tcW w:w="9576" w:type="dxa"/>
          </w:tcPr>
          <w:p w:rsidR="00BA4121" w:rsidRDefault="00255786">
            <w:pPr>
              <w:keepNext/>
            </w:pPr>
            <w:r>
              <w:t xml:space="preserve">Gina </w:t>
            </w:r>
            <w:proofErr w:type="spellStart"/>
            <w:r>
              <w:t>Rippens</w:t>
            </w:r>
            <w:proofErr w:type="spellEnd"/>
            <w:r>
              <w:t xml:space="preserve">, Eastern Florida State </w:t>
            </w:r>
            <w:r>
              <w:t>College- Cocoa</w:t>
            </w:r>
          </w:p>
        </w:tc>
      </w:tr>
      <w:tr w:rsidR="00BA4121">
        <w:tc>
          <w:tcPr>
            <w:tcW w:w="9576" w:type="dxa"/>
            <w:shd w:val="clear" w:color="auto" w:fill="FEFBE7"/>
          </w:tcPr>
          <w:p w:rsidR="00BA4121" w:rsidRDefault="00255786">
            <w:pPr>
              <w:keepNext/>
            </w:pPr>
            <w:r>
              <w:t xml:space="preserve">Christine </w:t>
            </w:r>
            <w:proofErr w:type="spellStart"/>
            <w:r>
              <w:t>Boatright</w:t>
            </w:r>
            <w:proofErr w:type="spellEnd"/>
            <w:r>
              <w:t xml:space="preserve"> Florida Gateway College</w:t>
            </w:r>
          </w:p>
        </w:tc>
      </w:tr>
      <w:tr w:rsidR="00BA4121">
        <w:tc>
          <w:tcPr>
            <w:tcW w:w="9576" w:type="dxa"/>
          </w:tcPr>
          <w:p w:rsidR="00BA4121" w:rsidRDefault="00255786">
            <w:pPr>
              <w:keepNext/>
            </w:pPr>
            <w:r>
              <w:t>Lori Kelly  Florida Keys Community College</w:t>
            </w:r>
          </w:p>
        </w:tc>
      </w:tr>
      <w:tr w:rsidR="00BA4121">
        <w:tc>
          <w:tcPr>
            <w:tcW w:w="9576" w:type="dxa"/>
            <w:shd w:val="clear" w:color="auto" w:fill="FEFBE7"/>
          </w:tcPr>
          <w:p w:rsidR="00BA4121" w:rsidRDefault="00255786">
            <w:pPr>
              <w:keepNext/>
            </w:pPr>
            <w:r>
              <w:t>Lena Phelps, South Florida State College</w:t>
            </w:r>
          </w:p>
        </w:tc>
      </w:tr>
      <w:tr w:rsidR="00BA4121">
        <w:tc>
          <w:tcPr>
            <w:tcW w:w="9576" w:type="dxa"/>
          </w:tcPr>
          <w:p w:rsidR="00BA4121" w:rsidRDefault="00255786">
            <w:pPr>
              <w:keepNext/>
            </w:pPr>
            <w:r>
              <w:t>Carole Thompson, College of Central Florida</w:t>
            </w:r>
          </w:p>
        </w:tc>
      </w:tr>
      <w:tr w:rsidR="00BA4121">
        <w:tc>
          <w:tcPr>
            <w:tcW w:w="9576" w:type="dxa"/>
            <w:shd w:val="clear" w:color="auto" w:fill="FEFBE7"/>
          </w:tcPr>
          <w:p w:rsidR="00BA4121" w:rsidRDefault="00255786">
            <w:pPr>
              <w:keepNext/>
            </w:pPr>
            <w:r>
              <w:t>Lori Driscoll, Gulf Coast State College</w:t>
            </w:r>
          </w:p>
        </w:tc>
      </w:tr>
      <w:tr w:rsidR="00BA4121">
        <w:tc>
          <w:tcPr>
            <w:tcW w:w="9576" w:type="dxa"/>
          </w:tcPr>
          <w:p w:rsidR="00BA4121" w:rsidRDefault="00255786">
            <w:pPr>
              <w:keepNext/>
            </w:pPr>
            <w:r>
              <w:t>Carmen M. Cummings - St</w:t>
            </w:r>
            <w:r>
              <w:t>. Johns River State College</w:t>
            </w:r>
          </w:p>
        </w:tc>
      </w:tr>
      <w:tr w:rsidR="00BA4121">
        <w:tc>
          <w:tcPr>
            <w:tcW w:w="9576" w:type="dxa"/>
            <w:shd w:val="clear" w:color="auto" w:fill="FEFBE7"/>
          </w:tcPr>
          <w:p w:rsidR="00BA4121" w:rsidRDefault="00255786">
            <w:pPr>
              <w:keepNext/>
            </w:pPr>
            <w:r>
              <w:t>Alice Murillo, Broward College</w:t>
            </w:r>
          </w:p>
        </w:tc>
      </w:tr>
      <w:tr w:rsidR="00BA4121">
        <w:tc>
          <w:tcPr>
            <w:tcW w:w="9576" w:type="dxa"/>
          </w:tcPr>
          <w:p w:rsidR="00BA4121" w:rsidRDefault="00255786">
            <w:pPr>
              <w:keepNext/>
            </w:pPr>
            <w:r>
              <w:t>Karen Griffin, Hillsborough Community College</w:t>
            </w:r>
          </w:p>
        </w:tc>
      </w:tr>
      <w:tr w:rsidR="00BA4121">
        <w:tc>
          <w:tcPr>
            <w:tcW w:w="9576" w:type="dxa"/>
            <w:shd w:val="clear" w:color="auto" w:fill="FEFBE7"/>
          </w:tcPr>
          <w:p w:rsidR="00BA4121" w:rsidRDefault="00255786">
            <w:pPr>
              <w:keepNext/>
            </w:pPr>
            <w:r>
              <w:t xml:space="preserve">Victoria </w:t>
            </w:r>
            <w:proofErr w:type="spellStart"/>
            <w:r>
              <w:t>McGlone</w:t>
            </w:r>
            <w:proofErr w:type="spellEnd"/>
            <w:r>
              <w:t>, Florida State College at Jacksonville</w:t>
            </w:r>
          </w:p>
        </w:tc>
      </w:tr>
      <w:tr w:rsidR="00BA4121">
        <w:tc>
          <w:tcPr>
            <w:tcW w:w="9576" w:type="dxa"/>
          </w:tcPr>
          <w:p w:rsidR="00BA4121" w:rsidRDefault="00255786">
            <w:pPr>
              <w:keepNext/>
            </w:pPr>
            <w:r>
              <w:t>Denise English  -  Lake-Sumter State College</w:t>
            </w:r>
          </w:p>
        </w:tc>
      </w:tr>
      <w:tr w:rsidR="00BA4121">
        <w:tc>
          <w:tcPr>
            <w:tcW w:w="9576" w:type="dxa"/>
            <w:shd w:val="clear" w:color="auto" w:fill="FEFBE7"/>
          </w:tcPr>
          <w:p w:rsidR="00BA4121" w:rsidRDefault="00255786">
            <w:pPr>
              <w:keepNext/>
            </w:pPr>
            <w:r>
              <w:t>Edison State College</w:t>
            </w:r>
          </w:p>
        </w:tc>
      </w:tr>
      <w:tr w:rsidR="00BA4121">
        <w:tc>
          <w:tcPr>
            <w:tcW w:w="9576" w:type="dxa"/>
          </w:tcPr>
          <w:p w:rsidR="00BA4121" w:rsidRDefault="00255786">
            <w:pPr>
              <w:keepNext/>
            </w:pPr>
            <w:r>
              <w:t>Pensacola State College</w:t>
            </w:r>
          </w:p>
        </w:tc>
      </w:tr>
      <w:tr w:rsidR="00BA4121">
        <w:tc>
          <w:tcPr>
            <w:tcW w:w="9576" w:type="dxa"/>
            <w:shd w:val="clear" w:color="auto" w:fill="FEFBE7"/>
          </w:tcPr>
          <w:p w:rsidR="00BA4121" w:rsidRDefault="00255786">
            <w:pPr>
              <w:keepNext/>
            </w:pPr>
            <w:r>
              <w:t>Janice Henderson - Northwest Florida State College</w:t>
            </w:r>
          </w:p>
        </w:tc>
      </w:tr>
      <w:tr w:rsidR="00BA4121">
        <w:tc>
          <w:tcPr>
            <w:tcW w:w="9576" w:type="dxa"/>
          </w:tcPr>
          <w:p w:rsidR="00BA4121" w:rsidRDefault="00255786">
            <w:pPr>
              <w:keepNext/>
            </w:pPr>
            <w:r>
              <w:t>Katy Miller, Valencia College</w:t>
            </w:r>
          </w:p>
        </w:tc>
      </w:tr>
      <w:tr w:rsidR="00BA4121">
        <w:tc>
          <w:tcPr>
            <w:tcW w:w="9576" w:type="dxa"/>
            <w:shd w:val="clear" w:color="auto" w:fill="FEFBE7"/>
          </w:tcPr>
          <w:p w:rsidR="00BA4121" w:rsidRDefault="00255786">
            <w:pPr>
              <w:keepNext/>
            </w:pPr>
            <w:r>
              <w:t>Pat DeSalvo, Seminole State College</w:t>
            </w:r>
          </w:p>
        </w:tc>
      </w:tr>
      <w:tr w:rsidR="00BA4121">
        <w:tc>
          <w:tcPr>
            <w:tcW w:w="9576" w:type="dxa"/>
          </w:tcPr>
          <w:p w:rsidR="00BA4121" w:rsidRDefault="00255786">
            <w:pPr>
              <w:keepNext/>
            </w:pPr>
            <w:r>
              <w:t>Isabel C Hernandez, Miami Dade College</w:t>
            </w:r>
          </w:p>
        </w:tc>
      </w:tr>
      <w:tr w:rsidR="00BA4121">
        <w:tc>
          <w:tcPr>
            <w:tcW w:w="9576" w:type="dxa"/>
            <w:shd w:val="clear" w:color="auto" w:fill="FEFBE7"/>
          </w:tcPr>
          <w:p w:rsidR="00BA4121" w:rsidRDefault="00255786">
            <w:pPr>
              <w:keepNext/>
            </w:pPr>
            <w:r>
              <w:t>Tallahassee Community College</w:t>
            </w:r>
          </w:p>
        </w:tc>
      </w:tr>
      <w:tr w:rsidR="00BA4121">
        <w:tc>
          <w:tcPr>
            <w:tcW w:w="9576" w:type="dxa"/>
          </w:tcPr>
          <w:p w:rsidR="00BA4121" w:rsidRDefault="00255786">
            <w:pPr>
              <w:keepNext/>
            </w:pPr>
            <w:r>
              <w:t xml:space="preserve">Bill </w:t>
            </w:r>
            <w:proofErr w:type="spellStart"/>
            <w:r>
              <w:t>Foege</w:t>
            </w:r>
            <w:proofErr w:type="spellEnd"/>
            <w:r>
              <w:t>, Polk State College</w:t>
            </w:r>
          </w:p>
        </w:tc>
      </w:tr>
      <w:tr w:rsidR="00BA4121">
        <w:tc>
          <w:tcPr>
            <w:tcW w:w="9576" w:type="dxa"/>
            <w:shd w:val="clear" w:color="auto" w:fill="FEFBE7"/>
          </w:tcPr>
          <w:p w:rsidR="00BA4121" w:rsidRDefault="00255786">
            <w:pPr>
              <w:keepNext/>
            </w:pPr>
            <w:r>
              <w:t>State College of Florida, Manat</w:t>
            </w:r>
            <w:r>
              <w:t>ee/Sarasota</w:t>
            </w:r>
          </w:p>
        </w:tc>
      </w:tr>
    </w:tbl>
    <w:p w:rsidR="00BA4121" w:rsidRDefault="00BA4121"/>
    <w:tbl>
      <w:tblPr>
        <w:tblStyle w:val="QTable"/>
        <w:tblW w:w="9576" w:type="auto"/>
        <w:tblLook w:val="04A0" w:firstRow="1" w:lastRow="0" w:firstColumn="1" w:lastColumn="0" w:noHBand="0" w:noVBand="1"/>
      </w:tblPr>
      <w:tblGrid>
        <w:gridCol w:w="4788"/>
        <w:gridCol w:w="4788"/>
      </w:tblGrid>
      <w:tr w:rsidR="00BA4121">
        <w:tc>
          <w:tcPr>
            <w:tcW w:w="4788" w:type="dxa"/>
            <w:shd w:val="clear" w:color="auto" w:fill="58595B"/>
          </w:tcPr>
          <w:p w:rsidR="00BA4121" w:rsidRDefault="00255786">
            <w:pPr>
              <w:pStyle w:val="WhiteText"/>
              <w:keepNext/>
            </w:pPr>
            <w:r>
              <w:t>Statistic</w:t>
            </w:r>
          </w:p>
        </w:tc>
        <w:tc>
          <w:tcPr>
            <w:tcW w:w="4788" w:type="dxa"/>
            <w:shd w:val="clear" w:color="auto" w:fill="58595B"/>
          </w:tcPr>
          <w:p w:rsidR="00BA4121" w:rsidRDefault="00255786">
            <w:pPr>
              <w:pStyle w:val="WhiteText"/>
              <w:keepNext/>
              <w:jc w:val="right"/>
            </w:pPr>
            <w:r>
              <w:t>Value</w:t>
            </w:r>
          </w:p>
        </w:tc>
      </w:tr>
      <w:tr w:rsidR="00BA4121">
        <w:tc>
          <w:tcPr>
            <w:tcW w:w="4788" w:type="dxa"/>
            <w:shd w:val="clear" w:color="auto" w:fill="FEFBE7"/>
          </w:tcPr>
          <w:p w:rsidR="00BA4121" w:rsidRDefault="00255786">
            <w:pPr>
              <w:keepNext/>
            </w:pPr>
            <w:r>
              <w:t>Total Responses</w:t>
            </w:r>
          </w:p>
        </w:tc>
        <w:tc>
          <w:tcPr>
            <w:tcW w:w="4788" w:type="dxa"/>
            <w:shd w:val="clear" w:color="auto" w:fill="FEFBE7"/>
          </w:tcPr>
          <w:p w:rsidR="00BA4121" w:rsidRDefault="00255786">
            <w:pPr>
              <w:keepNext/>
              <w:jc w:val="right"/>
            </w:pPr>
            <w:r>
              <w:t>21</w:t>
            </w:r>
          </w:p>
        </w:tc>
      </w:tr>
    </w:tbl>
    <w:p w:rsidR="00BA4121" w:rsidRDefault="00BA4121"/>
    <w:sectPr w:rsidR="00BA4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255786"/>
    <w:rsid w:val="00B70267"/>
    <w:rsid w:val="00BA4121"/>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7DCAB-5750-4513-A890-563D3D84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Qualtrics</Company>
  <LinksUpToDate>false</LinksUpToDate>
  <CharactersWithSpaces>10217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Qualtrics</dc:creator>
  <cp:keywords/>
  <dc:description/>
  <cp:lastModifiedBy>Kristine Shrauger</cp:lastModifiedBy>
  <cp:revision>2</cp:revision>
  <dcterms:created xsi:type="dcterms:W3CDTF">2014-05-08T18:26:00Z</dcterms:created>
  <dcterms:modified xsi:type="dcterms:W3CDTF">2014-05-08T18:26:00Z</dcterms:modified>
</cp:coreProperties>
</file>